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8F6B1" w14:textId="77777777" w:rsidR="00270120" w:rsidRPr="00140A25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140A25">
        <w:rPr>
          <w:rFonts w:ascii="Sylfaen" w:hAnsi="Sylfaen"/>
          <w:b/>
          <w:sz w:val="28"/>
          <w:lang w:val="ka-GE"/>
        </w:rPr>
        <w:t>მთავრობის</w:t>
      </w:r>
      <w:r w:rsidR="005A44F5" w:rsidRPr="00140A25">
        <w:rPr>
          <w:rFonts w:ascii="Sylfaen" w:hAnsi="Sylfaen"/>
          <w:b/>
          <w:sz w:val="28"/>
          <w:lang w:val="ka-GE"/>
        </w:rPr>
        <w:t xml:space="preserve"> ვალი</w:t>
      </w:r>
    </w:p>
    <w:p w14:paraId="1E4CBDFE" w14:textId="77777777" w:rsidR="009B63F3" w:rsidRPr="00140A25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140A25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140A25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0A7B97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311D8A" w:rsidRPr="00140A25">
        <w:rPr>
          <w:rFonts w:ascii="Sylfaen" w:hAnsi="Sylfaen" w:cs="Sylfaen"/>
          <w:szCs w:val="21"/>
          <w:shd w:val="clear" w:color="auto" w:fill="FFFFFF"/>
        </w:rPr>
        <w:t>31</w:t>
      </w:r>
      <w:r w:rsidR="00EB0EE9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0A7B97" w:rsidRPr="00140A25">
        <w:rPr>
          <w:rFonts w:ascii="Sylfaen" w:hAnsi="Sylfaen" w:cs="Sylfaen"/>
          <w:szCs w:val="21"/>
          <w:shd w:val="clear" w:color="auto" w:fill="FFFFFF"/>
          <w:lang w:val="ka-GE"/>
        </w:rPr>
        <w:t>22,388</w:t>
      </w:r>
      <w:r w:rsidR="00F1789E">
        <w:rPr>
          <w:rFonts w:ascii="Sylfaen" w:hAnsi="Sylfaen" w:cs="Sylfaen"/>
          <w:szCs w:val="21"/>
          <w:shd w:val="clear" w:color="auto" w:fill="FFFFFF"/>
        </w:rPr>
        <w:t>.0</w:t>
      </w:r>
      <w:r w:rsidR="00311D8A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140A25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4D0CBB">
        <w:rPr>
          <w:rFonts w:ascii="Sylfaen" w:hAnsi="Sylfaen"/>
          <w:szCs w:val="21"/>
          <w:shd w:val="clear" w:color="auto" w:fill="FFFFFF"/>
          <w:lang w:val="ka-GE"/>
        </w:rPr>
        <w:t>მათ შორის „სახელმწიფო ვალის შესახებ“ საქართველოს კანონით გათვალისწინებულ სახელმწიფო ვალ</w:t>
      </w:r>
      <w:r w:rsidR="00396821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396821" w:rsidRPr="004D0CBB">
        <w:rPr>
          <w:rFonts w:ascii="Sylfaen" w:hAnsi="Sylfaen"/>
          <w:szCs w:val="21"/>
          <w:shd w:val="clear" w:color="auto" w:fill="FFFFFF"/>
          <w:lang w:val="ka-GE"/>
        </w:rPr>
        <w:t xml:space="preserve">, გარდა საქართველოს ეროვნული ბანკის მიერ აღებული ვალდებულებებისა - </w:t>
      </w:r>
      <w:r w:rsidR="00396821">
        <w:rPr>
          <w:rFonts w:ascii="Sylfaen" w:hAnsi="Sylfaen"/>
          <w:szCs w:val="21"/>
          <w:shd w:val="clear" w:color="auto" w:fill="FFFFFF"/>
        </w:rPr>
        <w:t>22,383.6</w:t>
      </w:r>
      <w:r w:rsidR="00396821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396821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140A25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140A25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140A25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140A25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0A7B97" w:rsidRPr="00140A25">
        <w:rPr>
          <w:rFonts w:ascii="Sylfaen" w:hAnsi="Sylfaen"/>
          <w:szCs w:val="21"/>
          <w:shd w:val="clear" w:color="auto" w:fill="FFFFFF"/>
          <w:lang w:val="ka-GE"/>
        </w:rPr>
        <w:t>4.4</w:t>
      </w:r>
      <w:r w:rsidR="00914D8C" w:rsidRPr="00140A25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14:paraId="01217D03" w14:textId="77777777" w:rsidR="006F4202" w:rsidRPr="00140A25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140A25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87661E" w:rsidRPr="00140A25">
        <w:rPr>
          <w:rFonts w:ascii="Sylfaen" w:hAnsi="Sylfaen"/>
          <w:szCs w:val="21"/>
          <w:shd w:val="clear" w:color="auto" w:fill="FFFFFF"/>
          <w:lang w:val="ka-GE"/>
        </w:rPr>
        <w:t>1</w:t>
      </w:r>
      <w:r w:rsidR="000A7B97" w:rsidRPr="00140A25">
        <w:rPr>
          <w:rFonts w:ascii="Sylfaen" w:hAnsi="Sylfaen"/>
          <w:szCs w:val="21"/>
          <w:shd w:val="clear" w:color="auto" w:fill="FFFFFF"/>
          <w:lang w:val="ka-GE"/>
        </w:rPr>
        <w:t>7</w:t>
      </w:r>
      <w:r w:rsidR="00396821">
        <w:rPr>
          <w:rFonts w:ascii="Sylfaen" w:hAnsi="Sylfaen"/>
          <w:szCs w:val="21"/>
          <w:shd w:val="clear" w:color="auto" w:fill="FFFFFF"/>
          <w:lang w:val="ka-GE"/>
        </w:rPr>
        <w:t>,</w:t>
      </w:r>
      <w:r w:rsidR="000A7B97" w:rsidRPr="00140A25">
        <w:rPr>
          <w:rFonts w:ascii="Sylfaen" w:hAnsi="Sylfaen"/>
          <w:szCs w:val="21"/>
          <w:shd w:val="clear" w:color="auto" w:fill="FFFFFF"/>
          <w:lang w:val="ka-GE"/>
        </w:rPr>
        <w:t>876.2</w:t>
      </w:r>
      <w:r w:rsidR="00784855" w:rsidRPr="00140A25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140A25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140A25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140A25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მთლიანი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ვალის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140A25">
        <w:rPr>
          <w:rFonts w:ascii="Sylfaen" w:hAnsi="Sylfaen"/>
          <w:szCs w:val="21"/>
          <w:shd w:val="clear" w:color="auto" w:fill="FFFFFF"/>
          <w:lang w:val="ka-GE"/>
        </w:rPr>
        <w:t>8</w:t>
      </w:r>
      <w:r w:rsidR="000A7B97" w:rsidRPr="00140A25">
        <w:rPr>
          <w:rFonts w:ascii="Sylfaen" w:hAnsi="Sylfaen"/>
          <w:szCs w:val="21"/>
          <w:shd w:val="clear" w:color="auto" w:fill="FFFFFF"/>
          <w:lang w:val="ka-GE"/>
        </w:rPr>
        <w:t>0</w:t>
      </w:r>
      <w:r w:rsidR="006F4202" w:rsidRPr="00140A25">
        <w:rPr>
          <w:rFonts w:ascii="Sylfaen" w:hAnsi="Sylfaen"/>
          <w:szCs w:val="21"/>
          <w:shd w:val="clear" w:color="auto" w:fill="FFFFFF"/>
        </w:rPr>
        <w:t>%-</w:t>
      </w:r>
      <w:r w:rsidR="006F4202" w:rsidRPr="00140A25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140A25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საკრედიტო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რესურსის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დიდი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ნაწილი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მიღებულია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და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ორმხრივი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საგარეო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ვალი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საკონტრაქტო ვადიანობა შეადგენს </w:t>
      </w:r>
      <w:r w:rsidR="002A3C73" w:rsidRPr="00140A25">
        <w:rPr>
          <w:rFonts w:ascii="Sylfaen" w:hAnsi="Sylfaen"/>
          <w:szCs w:val="21"/>
          <w:shd w:val="clear" w:color="auto" w:fill="FFFFFF"/>
          <w:lang w:val="ka-GE"/>
        </w:rPr>
        <w:t>2</w:t>
      </w:r>
      <w:r w:rsidR="000A7B97" w:rsidRPr="00140A25">
        <w:rPr>
          <w:rFonts w:ascii="Sylfaen" w:hAnsi="Sylfaen"/>
          <w:szCs w:val="21"/>
          <w:shd w:val="clear" w:color="auto" w:fill="FFFFFF"/>
          <w:lang w:val="ka-GE"/>
        </w:rPr>
        <w:t>1</w:t>
      </w:r>
      <w:r w:rsidR="002A3C73" w:rsidRPr="00140A25">
        <w:rPr>
          <w:rFonts w:ascii="Sylfaen" w:hAnsi="Sylfaen"/>
          <w:szCs w:val="21"/>
          <w:shd w:val="clear" w:color="auto" w:fill="FFFFFF"/>
          <w:lang w:val="ka-GE"/>
        </w:rPr>
        <w:t>.</w:t>
      </w:r>
      <w:r w:rsidR="000A7B97" w:rsidRPr="00140A25">
        <w:rPr>
          <w:rFonts w:ascii="Sylfaen" w:hAnsi="Sylfaen"/>
          <w:szCs w:val="21"/>
          <w:shd w:val="clear" w:color="auto" w:fill="FFFFFF"/>
          <w:lang w:val="ka-GE"/>
        </w:rPr>
        <w:t>9</w:t>
      </w:r>
      <w:r w:rsidR="00C126E1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140A25">
        <w:rPr>
          <w:rFonts w:ascii="Sylfaen" w:hAnsi="Sylfaen"/>
          <w:szCs w:val="21"/>
          <w:shd w:val="clear" w:color="auto" w:fill="FFFFFF"/>
        </w:rPr>
        <w:t>წელს</w:t>
      </w:r>
      <w:r w:rsidR="006F4202" w:rsidRPr="00140A25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DE4001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E17E10" w:rsidRPr="00140A25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F2321" w:rsidRPr="00140A25">
        <w:rPr>
          <w:rFonts w:ascii="Sylfaen" w:hAnsi="Sylfaen"/>
          <w:szCs w:val="21"/>
          <w:shd w:val="clear" w:color="auto" w:fill="FFFFFF"/>
        </w:rPr>
        <w:t>.</w:t>
      </w:r>
      <w:r w:rsidR="00406FEE" w:rsidRPr="00140A25">
        <w:rPr>
          <w:rFonts w:ascii="Sylfaen" w:hAnsi="Sylfaen"/>
          <w:szCs w:val="21"/>
          <w:shd w:val="clear" w:color="auto" w:fill="FFFFFF"/>
        </w:rPr>
        <w:t>5</w:t>
      </w:r>
      <w:r w:rsidR="00C126E1" w:rsidRPr="00140A25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0A7B97" w:rsidRPr="00140A25">
        <w:rPr>
          <w:rFonts w:ascii="Sylfaen" w:hAnsi="Sylfaen" w:cs="Sylfaen"/>
          <w:szCs w:val="21"/>
          <w:shd w:val="clear" w:color="auto" w:fill="FFFFFF"/>
          <w:lang w:val="ka-GE"/>
        </w:rPr>
        <w:t>1.9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14:paraId="7CC5975B" w14:textId="77777777" w:rsidR="006F4202" w:rsidRPr="00140A25" w:rsidRDefault="00396821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140A25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7F46CB" wp14:editId="59CBA7F8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D3C8B7" w14:textId="77777777" w:rsidR="00897C6B" w:rsidRPr="00A33B48" w:rsidRDefault="00897C6B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33C7D49F" w14:textId="77777777" w:rsidR="00897C6B" w:rsidRPr="00A33B48" w:rsidRDefault="00897C6B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B76C9">
                                <w:rPr>
                                  <w:rFonts w:ascii="Sylfaen" w:hAnsi="Sylfaen" w:cstheme="minorBidi"/>
                                  <w:b/>
                                  <w:color w:val="FF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1.9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14:paraId="14349DD3" w14:textId="77777777" w:rsidR="00897C6B" w:rsidRPr="00A33B48" w:rsidRDefault="00897C6B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14:paraId="419754C2" w14:textId="77777777" w:rsidR="00897C6B" w:rsidRPr="00DE4001" w:rsidRDefault="00897C6B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A42B2A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897C6B" w:rsidRPr="00A33B48" w:rsidRDefault="00897C6B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897C6B" w:rsidRPr="00A33B48" w:rsidRDefault="00897C6B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8B76C9">
                          <w:rPr>
                            <w:rFonts w:ascii="Sylfaen" w:hAnsi="Sylfaen" w:cstheme="minorBidi"/>
                            <w:b/>
                            <w:color w:val="FF0000"/>
                            <w:kern w:val="24"/>
                            <w:sz w:val="16"/>
                            <w:szCs w:val="16"/>
                            <w:lang w:val="ka-GE"/>
                          </w:rPr>
                          <w:t>1.9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:rsidR="00897C6B" w:rsidRPr="00A33B48" w:rsidRDefault="00897C6B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1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9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897C6B" w:rsidRPr="00DE4001" w:rsidRDefault="00897C6B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5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Pr="00140A25">
        <w:rPr>
          <w:noProof/>
        </w:rPr>
        <w:drawing>
          <wp:anchor distT="0" distB="0" distL="114300" distR="114300" simplePos="0" relativeHeight="251663360" behindDoc="0" locked="0" layoutInCell="1" allowOverlap="1" wp14:anchorId="74F7C735" wp14:editId="60A22E98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140A25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EB0EE9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3</w:t>
      </w:r>
      <w:r w:rsidR="00311D8A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1</w:t>
      </w:r>
      <w:r w:rsidR="00EB0EE9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784855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მარტის</w:t>
      </w:r>
      <w:r w:rsidR="00EB0EE9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14:paraId="434C71E6" w14:textId="77777777" w:rsidR="003C2AE8" w:rsidRPr="00140A25" w:rsidRDefault="00764192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140A25">
        <w:rPr>
          <w:rFonts w:ascii="Sylfaen" w:hAnsi="Sylfaen"/>
          <w:lang w:val="ka-GE"/>
        </w:rPr>
        <w:t xml:space="preserve"> </w:t>
      </w:r>
    </w:p>
    <w:p w14:paraId="66BA62E3" w14:textId="77777777" w:rsidR="00B57E95" w:rsidRPr="00140A25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1770929B" w14:textId="77777777" w:rsidR="006F4202" w:rsidRPr="00140A25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06FEE" w:rsidRPr="00140A25">
        <w:rPr>
          <w:rFonts w:ascii="Sylfaen" w:hAnsi="Sylfaen" w:cs="Sylfaen"/>
          <w:szCs w:val="21"/>
          <w:shd w:val="clear" w:color="auto" w:fill="FFFFFF"/>
        </w:rPr>
        <w:t>20</w:t>
      </w: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6B3FC1" w:rsidRPr="00140A25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EB0EE9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საგარეო ვალის პორტფელის </w:t>
      </w:r>
      <w:r w:rsidR="00B7447C" w:rsidRPr="00140A25">
        <w:rPr>
          <w:rFonts w:ascii="Sylfaen" w:hAnsi="Sylfaen" w:cs="Sylfaen"/>
          <w:szCs w:val="21"/>
          <w:shd w:val="clear" w:color="auto" w:fill="FFFFFF"/>
        </w:rPr>
        <w:t>54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% შედგება ფიქსირებული საპროცენტო განაკვეთის მქონე კრედიტებისგან. ეს გარემოება ხელს უწყობს საქართველოს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დონეზე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050EF1" w:rsidRPr="00140A25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B7447C" w:rsidRPr="00140A25">
        <w:rPr>
          <w:rFonts w:ascii="Sylfaen" w:hAnsi="Sylfaen" w:cs="Sylfaen"/>
          <w:szCs w:val="21"/>
          <w:shd w:val="clear" w:color="auto" w:fill="FFFFFF"/>
        </w:rPr>
        <w:t>0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 </w:t>
      </w:r>
    </w:p>
    <w:p w14:paraId="54B50C9D" w14:textId="77777777" w:rsidR="00B7509F" w:rsidRPr="00140A25" w:rsidRDefault="00570C98" w:rsidP="00D62E87">
      <w:pPr>
        <w:tabs>
          <w:tab w:val="left" w:pos="360"/>
        </w:tabs>
        <w:spacing w:line="240" w:lineRule="auto"/>
        <w:rPr>
          <w:rFonts w:ascii="Sylfaen" w:hAnsi="Sylfaen"/>
          <w:lang w:val="ka-GE"/>
        </w:rPr>
      </w:pPr>
      <w:r w:rsidRPr="00140A25">
        <w:rPr>
          <w:rFonts w:ascii="Sylfaen" w:hAnsi="Sylfaen"/>
          <w:lang w:val="ka-GE"/>
        </w:rPr>
        <w:t xml:space="preserve">  </w:t>
      </w:r>
    </w:p>
    <w:p w14:paraId="40B1C7BD" w14:textId="77777777" w:rsidR="00A93CD1" w:rsidRPr="00140A25" w:rsidRDefault="0098115B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 w:rsidRPr="00140A25">
        <w:rPr>
          <w:noProof/>
        </w:rPr>
        <w:drawing>
          <wp:anchor distT="0" distB="0" distL="114300" distR="114300" simplePos="0" relativeHeight="251664384" behindDoc="0" locked="0" layoutInCell="1" allowOverlap="1" wp14:anchorId="48E25E40" wp14:editId="2F469FB5">
            <wp:simplePos x="0" y="0"/>
            <wp:positionH relativeFrom="column">
              <wp:posOffset>3848100</wp:posOffset>
            </wp:positionH>
            <wp:positionV relativeFrom="paragraph">
              <wp:posOffset>2540</wp:posOffset>
            </wp:positionV>
            <wp:extent cx="2247900" cy="1695450"/>
            <wp:effectExtent l="0" t="0" r="0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47C" w:rsidRPr="00140A25">
        <w:rPr>
          <w:noProof/>
        </w:rPr>
        <w:drawing>
          <wp:anchor distT="0" distB="0" distL="114300" distR="114300" simplePos="0" relativeHeight="251665408" behindDoc="0" locked="0" layoutInCell="1" allowOverlap="1" wp14:anchorId="4369B028" wp14:editId="4897BA5C">
            <wp:simplePos x="0" y="0"/>
            <wp:positionH relativeFrom="column">
              <wp:posOffset>466725</wp:posOffset>
            </wp:positionH>
            <wp:positionV relativeFrom="paragraph">
              <wp:posOffset>2540</wp:posOffset>
            </wp:positionV>
            <wp:extent cx="2419350" cy="1552575"/>
            <wp:effectExtent l="0" t="0" r="0" b="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7F487C4B" w14:textId="77777777" w:rsidR="00A93CD1" w:rsidRPr="00140A25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14:paraId="1AD532E6" w14:textId="77777777" w:rsidR="006042C4" w:rsidRPr="00140A25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000E5988" w14:textId="77777777" w:rsidR="002F5FB0" w:rsidRPr="00140A25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br w:type="page"/>
      </w:r>
    </w:p>
    <w:p w14:paraId="418D5DD2" w14:textId="77777777" w:rsidR="00071D1D" w:rsidRPr="00140A25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140A25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140A25">
        <w:rPr>
          <w:rFonts w:ascii="Sylfaen" w:hAnsi="Sylfaen"/>
          <w:b/>
          <w:lang w:val="ka-GE"/>
        </w:rPr>
        <w:t>20</w:t>
      </w:r>
      <w:r w:rsidR="00B71865" w:rsidRPr="00140A25">
        <w:rPr>
          <w:rFonts w:ascii="Sylfaen" w:hAnsi="Sylfaen"/>
          <w:b/>
        </w:rPr>
        <w:t>20</w:t>
      </w:r>
      <w:r w:rsidR="00E46C45" w:rsidRPr="00140A25">
        <w:rPr>
          <w:rFonts w:ascii="Sylfaen" w:hAnsi="Sylfaen"/>
          <w:b/>
          <w:lang w:val="ka-GE"/>
        </w:rPr>
        <w:t xml:space="preserve"> წლის </w:t>
      </w:r>
      <w:r w:rsidR="006B3FC1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1757D3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მარტის</w:t>
      </w:r>
      <w:r w:rsidR="001757D3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E46C45" w:rsidRPr="00140A25">
        <w:rPr>
          <w:rFonts w:ascii="Sylfaen" w:hAnsi="Sylfaen"/>
          <w:b/>
          <w:lang w:val="ka-GE"/>
        </w:rPr>
        <w:t xml:space="preserve"> </w:t>
      </w:r>
      <w:r w:rsidR="00071D1D" w:rsidRPr="00140A25">
        <w:rPr>
          <w:rFonts w:ascii="Sylfaen" w:hAnsi="Sylfaen"/>
          <w:b/>
          <w:lang w:val="ka-GE"/>
        </w:rPr>
        <w:t>მდგომარეობით</w:t>
      </w:r>
    </w:p>
    <w:p w14:paraId="67550998" w14:textId="77777777" w:rsidR="009139F2" w:rsidRPr="00140A25" w:rsidRDefault="009139F2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23"/>
        <w:gridCol w:w="991"/>
        <w:gridCol w:w="1355"/>
        <w:gridCol w:w="1249"/>
        <w:gridCol w:w="1336"/>
        <w:gridCol w:w="1143"/>
        <w:gridCol w:w="1143"/>
      </w:tblGrid>
      <w:tr w:rsidR="008B589D" w:rsidRPr="00140A25" w14:paraId="3F288F7E" w14:textId="77777777" w:rsidTr="00816066">
        <w:trPr>
          <w:trHeight w:hRule="exact" w:val="611"/>
          <w:tblHeader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FE8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კრედიტორი</w:t>
            </w:r>
            <w:r w:rsidRPr="00140A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94D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140A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კრედიტის</w:t>
            </w:r>
            <w:r w:rsidRPr="00140A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ვალუტა</w:t>
            </w:r>
            <w:r w:rsidRPr="00140A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83E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r w:rsidRPr="00140A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r w:rsidRPr="00140A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</w:t>
            </w: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აშშ</w:t>
            </w:r>
            <w:r w:rsidRPr="00140A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დოლარი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5E43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r w:rsidRPr="00140A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r w:rsidRPr="00140A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</w:t>
            </w: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ლარი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0439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140A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0E6B4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140A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r w:rsidRPr="00140A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31.03.2020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7223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შეწონილი</w:t>
            </w:r>
            <w:r w:rsidRPr="00140A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140A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</w:p>
        </w:tc>
      </w:tr>
      <w:tr w:rsidR="008B589D" w:rsidRPr="00140A25" w14:paraId="18E73913" w14:textId="77777777" w:rsidTr="00816066">
        <w:trPr>
          <w:trHeight w:hRule="exact" w:val="393"/>
        </w:trPr>
        <w:tc>
          <w:tcPr>
            <w:tcW w:w="199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15A3C0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140A25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სახელმწიფო</w:t>
            </w:r>
            <w:r w:rsidRPr="00140A25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საგარეო</w:t>
            </w:r>
            <w:r w:rsidRPr="00140A25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ვალი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37C17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5,442,597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594F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17,876,210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31DF4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4F0B7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6E2C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8B589D" w:rsidRPr="00140A25" w14:paraId="6D91F39A" w14:textId="77777777" w:rsidTr="00816066">
        <w:trPr>
          <w:trHeight w:hRule="exact" w:val="332"/>
        </w:trPr>
        <w:tc>
          <w:tcPr>
            <w:tcW w:w="1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98551A2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40A25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მრავალმხრივი</w:t>
            </w:r>
            <w:r w:rsidRPr="00140A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კრედიტორები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0A99BBD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3,890,913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46C8416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12,779,704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0B81265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74A9AED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CA5BEB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8B589D" w:rsidRPr="00140A25" w14:paraId="0676A3AE" w14:textId="77777777" w:rsidTr="00816066">
        <w:trPr>
          <w:trHeight w:hRule="exact" w:val="187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5096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ასოციაცია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>(WB - IDA)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F44D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98D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678,831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5A8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2,229,621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8041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2141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A7EF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0.094%</w:t>
            </w:r>
          </w:p>
        </w:tc>
      </w:tr>
      <w:tr w:rsidR="008B589D" w:rsidRPr="00140A25" w14:paraId="2161AAF7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EFAE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492CA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528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232,345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1A4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763,137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EA92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B053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411F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0.085%</w:t>
            </w:r>
          </w:p>
        </w:tc>
      </w:tr>
      <w:tr w:rsidR="008B589D" w:rsidRPr="00140A25" w14:paraId="11573438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79BB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2D706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BDB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9,035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330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29,676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9798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8EB6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2.15%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C2F8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8B589D" w:rsidRPr="00140A25" w14:paraId="77A042E3" w14:textId="77777777" w:rsidTr="00816066">
        <w:trPr>
          <w:trHeight w:hRule="exact" w:val="187"/>
        </w:trPr>
        <w:tc>
          <w:tcPr>
            <w:tcW w:w="15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FF57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92E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BF9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106,453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F03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349,644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3D4ED7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140A25">
              <w:rPr>
                <w:rFonts w:ascii="Calibri" w:eastAsia="Times New Roman" w:hAnsi="Calibri" w:cs="Calibri"/>
                <w:sz w:val="12"/>
                <w:szCs w:val="12"/>
              </w:rPr>
              <w:t>EURIBOR + Var. Spread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auto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79705" w14:textId="77777777" w:rsidR="008B589D" w:rsidRPr="00AD59D0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</w:rPr>
            </w:pPr>
            <w:r w:rsidRPr="00AD59D0">
              <w:rPr>
                <w:rFonts w:ascii="Calibri" w:eastAsia="Times New Roman" w:hAnsi="Calibri" w:cs="Calibri"/>
                <w:sz w:val="16"/>
                <w:szCs w:val="16"/>
                <w:u w:val="single"/>
              </w:rPr>
              <w:t>0.64%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98717" w14:textId="77777777" w:rsidR="008B589D" w:rsidRPr="00AD59D0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u w:val="single"/>
              </w:rPr>
            </w:pPr>
            <w:r w:rsidRPr="00AD59D0">
              <w:rPr>
                <w:rFonts w:ascii="Calibri" w:eastAsia="Times New Roman" w:hAnsi="Calibri" w:cs="Calibri"/>
                <w:sz w:val="16"/>
                <w:szCs w:val="16"/>
                <w:u w:val="single"/>
              </w:rPr>
              <w:t>0.013%</w:t>
            </w:r>
          </w:p>
        </w:tc>
      </w:tr>
      <w:tr w:rsidR="008B589D" w:rsidRPr="00140A25" w14:paraId="0FD4F68E" w14:textId="77777777" w:rsidTr="00816066">
        <w:trPr>
          <w:trHeight w:hRule="exact" w:val="187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EDE2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ასოციაცია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>(WB - IBRD)</w:t>
            </w: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CD4D6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F88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531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098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1,745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E2A29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46D6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0.91%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697A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03DF469E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355FD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B1C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54F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29,784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807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97,826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9608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LIBOR + Variable Spread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8C1E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1.42%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4ABC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8B589D" w:rsidRPr="00140A25" w14:paraId="3D170BEC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D3F9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4B040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B5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28,937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93D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95,044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D9688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C29E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1.72%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096D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8B589D" w:rsidRPr="00140A25" w14:paraId="650CD3D8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12C75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36888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160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167,625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D91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550,563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856EE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C26B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2.15%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677C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0.066%</w:t>
            </w:r>
          </w:p>
        </w:tc>
      </w:tr>
      <w:tr w:rsidR="008B589D" w:rsidRPr="00140A25" w14:paraId="1AF3DA9A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7F02B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56E45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464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44,412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CDE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145,872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7D710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636B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2.35%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F40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0.019%</w:t>
            </w:r>
          </w:p>
        </w:tc>
      </w:tr>
      <w:tr w:rsidR="008B589D" w:rsidRPr="00140A25" w14:paraId="6D589A59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612AD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72A53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83D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148,828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0F0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488,825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DAE73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5417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2.55%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D17D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0.070%</w:t>
            </w:r>
          </w:p>
        </w:tc>
      </w:tr>
      <w:tr w:rsidR="008B589D" w:rsidRPr="00140A25" w14:paraId="141989EA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64336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6AA1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474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133,278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4FB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437,752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0F543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F882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2.58%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6C11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0.063%</w:t>
            </w:r>
          </w:p>
        </w:tc>
      </w:tr>
      <w:tr w:rsidR="008B589D" w:rsidRPr="00140A25" w14:paraId="6CD55619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C8D3B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2E540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B9C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72,780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753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239,047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8E614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5C80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2.61%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0D4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0.035%</w:t>
            </w:r>
          </w:p>
        </w:tc>
      </w:tr>
      <w:tr w:rsidR="008B589D" w:rsidRPr="00140A25" w14:paraId="511F53DA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0035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5C64D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31A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9,211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41B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30,254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58E61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FEDA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2.67%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DE03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8B589D" w:rsidRPr="00140A25" w14:paraId="6B0DC0D0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0C30A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71F3C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415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26,401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CE0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86,713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7AA76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4F17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2.79%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0FE6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8B589D" w:rsidRPr="00140A25" w14:paraId="03BB958F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AD956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06FC3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7C8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21,614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4E7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70,992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F8012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0B5D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2.88%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CEB4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8B589D" w:rsidRPr="00140A25" w14:paraId="22A19B5A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54559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23C3A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4F3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120,000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E7A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394,140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5A341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CB14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2.97%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95AE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0.065%</w:t>
            </w:r>
          </w:p>
        </w:tc>
      </w:tr>
      <w:tr w:rsidR="008B589D" w:rsidRPr="00140A25" w14:paraId="7C80DD24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18518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BA270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8FC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6,623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D77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21,754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AA4BD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C863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3.05%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5E9A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8B589D" w:rsidRPr="00140A25" w14:paraId="1F1121C4" w14:textId="77777777" w:rsidTr="00816066">
        <w:trPr>
          <w:trHeight w:hRule="exact" w:val="187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A07E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სოფლის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მეურნეობის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ფონდი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(IFAD)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E9B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4F7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17,837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878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58,584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C5D8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DA85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FDB6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8B589D" w:rsidRPr="00140A25" w14:paraId="47D5936A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90EC7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8D96F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BF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11,451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775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37,610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BD91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4BE9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19D1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8B589D" w:rsidRPr="00140A25" w14:paraId="38C10977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52BBD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BD084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68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3,947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8B2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12,963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0128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(SDR LIBOR + IBRD Variable Spread)/2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4B9D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1.10%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92D7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8B589D" w:rsidRPr="00140A25" w14:paraId="7213B297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4E3A9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A48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E2F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830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738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2,727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A919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FE52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0.99%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71C4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7D7A5FC7" w14:textId="77777777" w:rsidTr="00816066">
        <w:trPr>
          <w:trHeight w:hRule="exact" w:val="187"/>
        </w:trPr>
        <w:tc>
          <w:tcPr>
            <w:tcW w:w="151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480F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ევროგაერთიანება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(EU)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555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E2F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11,071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2C8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36,363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B24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379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0.52%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187F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8B589D" w:rsidRPr="00140A25" w14:paraId="3A8BCACB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4D1A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FC95F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FCB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14,392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724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47,272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74B5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1D14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1.16%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2D2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8B589D" w:rsidRPr="00140A25" w14:paraId="6C1C1804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FAC3C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F2F25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4D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16,607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1E1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54,544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DA30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4771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1.25%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8CF7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8B589D" w:rsidRPr="00140A25" w14:paraId="41469F3A" w14:textId="77777777" w:rsidTr="00816066">
        <w:trPr>
          <w:trHeight w:hRule="exact" w:val="538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411A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ევროპის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რეკონსტრუქციის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(EBRD)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8286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07B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125,648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AB0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412,690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8047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EURIBOR+ 1%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FADB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0.74%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8C5B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8B589D" w:rsidRPr="00140A25" w14:paraId="6560F886" w14:textId="77777777" w:rsidTr="00816066">
        <w:trPr>
          <w:trHeight w:hRule="exact" w:val="187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5D7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აზიის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(ADB)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9A6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C71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60,141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F35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197,535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2A5A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A8E4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0142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8B589D" w:rsidRPr="00140A25" w14:paraId="29496DA1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B11E8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ADA55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BBA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340,229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30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1,117,481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B4045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863E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DD2B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0.094%</w:t>
            </w:r>
          </w:p>
        </w:tc>
      </w:tr>
      <w:tr w:rsidR="008B589D" w:rsidRPr="00140A25" w14:paraId="7AFF2341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F8758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E3E1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0F5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36,049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A74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118,402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F3938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F61E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1.60%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AEBA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8B589D" w:rsidRPr="00140A25" w14:paraId="129FBB8F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880A8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C733D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CC9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229,298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B59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753,128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5D00D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5B91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A1BF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0.084%</w:t>
            </w:r>
          </w:p>
        </w:tc>
      </w:tr>
      <w:tr w:rsidR="008B589D" w:rsidRPr="00140A25" w14:paraId="136703D0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B14D9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8FA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530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189,550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31B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622,577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357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EURIBOR + Fixed Spread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A16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0.34%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7C0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8B589D" w:rsidRPr="00140A25" w14:paraId="5170FA81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A071F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11D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6BF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45,833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07C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150,540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0D6C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LIBOR + Fixed Spread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C4B5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1.04%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3012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8B589D" w:rsidRPr="00140A25" w14:paraId="4B01D3AA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71AED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0DDCD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C3E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40,957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861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134,524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FAC0F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904A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1.44%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3E3A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8B589D" w:rsidRPr="00140A25" w14:paraId="1735E430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1F19C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EA0C6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11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47,917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104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157,382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20805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7F3E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2.26%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3BEA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0.020%</w:t>
            </w:r>
          </w:p>
        </w:tc>
      </w:tr>
      <w:tr w:rsidR="008B589D" w:rsidRPr="00140A25" w14:paraId="6F609872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BEE9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B056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95D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72,093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86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236,791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83B94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6E62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2.27%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8437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0.030%</w:t>
            </w:r>
          </w:p>
        </w:tc>
      </w:tr>
      <w:tr w:rsidR="008B589D" w:rsidRPr="00140A25" w14:paraId="61A043AD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54F6A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4750B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F12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45,512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1E7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149,483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C3BFC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FF56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2.31%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6434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0.019%</w:t>
            </w:r>
          </w:p>
        </w:tc>
      </w:tr>
      <w:tr w:rsidR="008B589D" w:rsidRPr="00140A25" w14:paraId="43147EB0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1CDC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D1C09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3F4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13,333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DDC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43,793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961A5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CD0F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2.41%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ACB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8B589D" w:rsidRPr="00140A25" w14:paraId="514786A9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106A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B6A42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1ED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37,857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3F8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124,342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F4F51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AE97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2.47%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B54F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8B589D" w:rsidRPr="00140A25" w14:paraId="7BA4A72B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5CFB2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B263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47D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61,333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248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201,449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0FDFD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BBBF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2.59%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6995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0.029%</w:t>
            </w:r>
          </w:p>
        </w:tc>
      </w:tr>
      <w:tr w:rsidR="008B589D" w:rsidRPr="00140A25" w14:paraId="725195D8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E084A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FFD6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7F7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13,941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15E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45,790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5EF2F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B238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2.61%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FB8C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8B589D" w:rsidRPr="00140A25" w14:paraId="70AC696D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E6599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C683C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B4D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25,593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7D4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84,060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9049E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05B2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2.75%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4D3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0.013%</w:t>
            </w:r>
          </w:p>
        </w:tc>
      </w:tr>
      <w:tr w:rsidR="008B589D" w:rsidRPr="00140A25" w14:paraId="438C9D39" w14:textId="77777777" w:rsidTr="00816066">
        <w:trPr>
          <w:trHeight w:hRule="exact" w:val="52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AF4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აზიის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ინფრასტრუქტურის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(AIIB)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9BF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047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29,738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D3E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97,675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40A0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LIBOR + Variable Spread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08DF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4.08%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3597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0.022%</w:t>
            </w:r>
          </w:p>
        </w:tc>
      </w:tr>
      <w:tr w:rsidR="008B589D" w:rsidRPr="00140A25" w14:paraId="2A854E82" w14:textId="77777777" w:rsidTr="00816066">
        <w:trPr>
          <w:trHeight w:hRule="exact" w:val="547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6FDF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ევროსაბჭოს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(CEB)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818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BE6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998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759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3,278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3267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Euribor + Variable Spread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649B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0.11%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6BFB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66A97E06" w14:textId="77777777" w:rsidTr="00816066">
        <w:trPr>
          <w:trHeight w:hRule="exact" w:val="187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9D34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ევროპის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საინვესტიციო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>(EIB)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B4C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E47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9,246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E56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30,369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92B5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F760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0.86%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0B05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8B589D" w:rsidRPr="00140A25" w14:paraId="3CAEAD6B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A186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54707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BDF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22,142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B88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72,726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7AAA9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A45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0.87%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B77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8B589D" w:rsidRPr="00140A25" w14:paraId="3416D4B5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FC381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BF956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516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11,071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AB5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36,363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FFD268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BFCA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89D4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8B589D" w:rsidRPr="00140A25" w14:paraId="134F2692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AFFD7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5BE03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49F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25,071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55A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82,345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0EBCD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031E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1.69%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7D0B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8B589D" w:rsidRPr="00140A25" w14:paraId="62E2895C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76EF4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85E29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45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22,142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49D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72,726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4A7FB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27BC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1.94%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260A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8B589D" w:rsidRPr="00140A25" w14:paraId="05B5093C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C6C16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B3D6C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F8E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235,261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974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772,714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3613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EURIBOR+FS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57B8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1EB1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018CB33F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FECAF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7BDA9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A5D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83,033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A10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272,722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E6EF9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3601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0.03%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9DDB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150905CB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5169C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12448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B9A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22,142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305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72,726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0D25B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BE33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0.18%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7E49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8B589D" w:rsidRPr="00140A25" w14:paraId="54180915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FF22C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A4904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FFC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66,132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99F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217,211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143BD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8015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0.39%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851D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8B589D" w:rsidRPr="00140A25" w14:paraId="28273487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214704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E3CDE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F76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13,045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F8D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42,847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66173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55AF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0.40%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9D1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8B589D" w:rsidRPr="00140A25" w14:paraId="7FB66F4B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6E93A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E02CE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5D2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10,562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44A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34,692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9B116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6B33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0.46%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6444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8B589D" w:rsidRPr="00140A25" w14:paraId="3109C6DD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89B18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296B3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269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38,099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7FB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125,137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8C876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3A66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0.47%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2ABE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8B589D" w:rsidRPr="00140A25" w14:paraId="27C03B90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ECF32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F92DF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497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3,321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DC2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10,909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E39FE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A874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0.53%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3D21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210D92F7" w14:textId="77777777" w:rsidTr="00816066">
        <w:trPr>
          <w:trHeight w:hRule="exact" w:val="808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D06B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სკანდინავიური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გარემოსდაცვის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საფინანსო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კორპორაცია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(NEFCO) 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545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E63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800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412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2,628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10ED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402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EDCE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24B1B611" w14:textId="77777777" w:rsidTr="00816066">
        <w:trPr>
          <w:trHeight w:hRule="exact" w:val="386"/>
        </w:trPr>
        <w:tc>
          <w:tcPr>
            <w:tcW w:w="1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0CBC9AD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ორმხრივი</w:t>
            </w:r>
            <w:r w:rsidRPr="00140A2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კრედიტორები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504B150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60131E2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1,050,022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5877D08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3,448,799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07886EA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180A478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D65C7E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8B589D" w:rsidRPr="00140A25" w14:paraId="397627AB" w14:textId="77777777" w:rsidTr="00816066">
        <w:trPr>
          <w:trHeight w:hRule="exact" w:val="260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6DE9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ავსტრია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654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224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18,577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83D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61,015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79B1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67B9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0BB8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8B589D" w:rsidRPr="00140A25" w14:paraId="70811FA0" w14:textId="77777777" w:rsidTr="00816066">
        <w:trPr>
          <w:trHeight w:hRule="exact" w:val="349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A2DE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აზერბაიჯანი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C6A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21B1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6,291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5DEB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20,661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E673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A037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2DFD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8B589D" w:rsidRPr="00140A25" w14:paraId="73953AAD" w14:textId="77777777" w:rsidTr="00816066">
        <w:trPr>
          <w:trHeight w:hRule="exact" w:val="268"/>
        </w:trPr>
        <w:tc>
          <w:tcPr>
            <w:tcW w:w="15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4100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თურქმენეთი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6AD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FC7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211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682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693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3655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43A2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90D0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10605C98" w14:textId="77777777" w:rsidTr="00816066">
        <w:trPr>
          <w:trHeight w:hRule="exact" w:val="277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F22A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თურქეთი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FDB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821C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12,105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3E60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39,760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C1FC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C574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3.13%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D494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8B589D" w:rsidRPr="00140A25" w14:paraId="16029FF9" w14:textId="77777777" w:rsidTr="00816066">
        <w:trPr>
          <w:trHeight w:hRule="exact" w:val="214"/>
        </w:trPr>
        <w:tc>
          <w:tcPr>
            <w:tcW w:w="15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F11C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lastRenderedPageBreak/>
              <w:t>ირანი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9A5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976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4,796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594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15,752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3344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A93F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A44E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8B589D" w:rsidRPr="00140A25" w14:paraId="699A39DD" w14:textId="77777777" w:rsidTr="00816066">
        <w:trPr>
          <w:trHeight w:hRule="exact" w:val="268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DA8F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რუსეთი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AE9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90E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48,565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DEB6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159,511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C4B7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91DC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74E0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0.036%</w:t>
            </w:r>
          </w:p>
        </w:tc>
      </w:tr>
      <w:tr w:rsidR="008B589D" w:rsidRPr="00140A25" w14:paraId="7581A48E" w14:textId="77777777" w:rsidTr="00816066">
        <w:trPr>
          <w:trHeight w:hRule="exact" w:val="268"/>
        </w:trPr>
        <w:tc>
          <w:tcPr>
            <w:tcW w:w="15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B7C3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სომხეთი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A3E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D77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6,771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1A0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22,241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AFC3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AD85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A9D4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8B589D" w:rsidRPr="00140A25" w14:paraId="50B50D21" w14:textId="77777777" w:rsidTr="00816066">
        <w:trPr>
          <w:trHeight w:hRule="exact" w:val="268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D905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უზბეკეთი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4AF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5B24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98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492D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323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1845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FCA3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D5F1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31B95A7F" w14:textId="77777777" w:rsidTr="00816066">
        <w:trPr>
          <w:trHeight w:hRule="exact" w:val="277"/>
        </w:trPr>
        <w:tc>
          <w:tcPr>
            <w:tcW w:w="15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91CA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უკრაინა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D45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EA6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90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A6D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295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8969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6D41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31BA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759143D4" w14:textId="77777777" w:rsidTr="00816066">
        <w:trPr>
          <w:trHeight w:hRule="exact" w:val="268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78C7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ყაზახეთი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3E7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F27D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12,228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B5E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40,161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650D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8AC6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B239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8B589D" w:rsidRPr="00140A25" w14:paraId="3BDD9024" w14:textId="77777777" w:rsidTr="00816066">
        <w:trPr>
          <w:trHeight w:hRule="exact" w:val="268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030A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ჩინეთი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8D8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CNY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3F17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1,268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2AE7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4,165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B84A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C3BA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958B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7EE07809" w14:textId="77777777" w:rsidTr="00816066">
        <w:trPr>
          <w:trHeight w:hRule="exact" w:val="187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9450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გერმანია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(KfW)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95B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0A8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1,654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2CC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5,433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51C1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EURIBOR+ 0.3%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4A9E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6D82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6466037A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9DFF1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0DEF7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8F5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120,675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956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396,357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1955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EURIBOR+ 0.75%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B0D4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0.42%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98BD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8B589D" w:rsidRPr="00140A25" w14:paraId="21DB5A52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059C1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0134E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A18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122,135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A99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401,152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06DA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CAC4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9707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8B589D" w:rsidRPr="00140A25" w14:paraId="6CF77AF7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4C943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A087F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E56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21,025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5E2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69,056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6182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927C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792C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8B589D" w:rsidRPr="00140A25" w14:paraId="537721C3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5448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F466B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EE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582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069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1,910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2D7C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D6EE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1.90%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4337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011DD031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72543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4106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5A2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30,766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1F6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101,050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58EF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A0CF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14AC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8B589D" w:rsidRPr="00140A25" w14:paraId="46414525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8A7DD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AEBC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6BC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25,867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0A3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84,959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08DA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86B2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2.20%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2DB3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8B589D" w:rsidRPr="00140A25" w14:paraId="33DC70AD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666B2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E94B9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8A2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13,483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A0E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44,286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5BA9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4630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7455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8B589D" w:rsidRPr="00140A25" w14:paraId="34E9FD12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74AA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7731A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820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27,678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979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90,908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A4D6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9077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5.70%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05B4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0.029%</w:t>
            </w:r>
          </w:p>
        </w:tc>
      </w:tr>
      <w:tr w:rsidR="008B589D" w:rsidRPr="00140A25" w14:paraId="4A92119C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E6C51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E0B8F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464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10,066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65F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33,061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65E5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D1BF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6.68%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7E61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8B589D" w:rsidRPr="00140A25" w14:paraId="7F335E4B" w14:textId="77777777" w:rsidTr="00816066">
        <w:trPr>
          <w:trHeight w:hRule="exact" w:val="187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7C30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იაპონია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3A9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JPY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B38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27,281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113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89,606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3975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2895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C0ED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33A88973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568FE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9BAF3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050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140,485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7DA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461,422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19FD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E630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0.65%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9247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8B589D" w:rsidRPr="00140A25" w14:paraId="1FF85837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DDEA9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3EA17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2F0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1,347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DBA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4,425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6C99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17E3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1.30%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44A0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71B01C98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D0AE1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7057F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B5F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24,930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ED5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81,882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430C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092A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1.40%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7896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8B589D" w:rsidRPr="00140A25" w14:paraId="74CE518B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5F90B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FDE5B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2E3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19,252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AFD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63,234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DF6B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DBC7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2.30%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4FF9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8B589D" w:rsidRPr="00140A25" w14:paraId="68B3B03D" w14:textId="77777777" w:rsidTr="00816066">
        <w:trPr>
          <w:trHeight w:hRule="exact" w:val="187"/>
        </w:trPr>
        <w:tc>
          <w:tcPr>
            <w:tcW w:w="151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2DD8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კუვეიტი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841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KWD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6C2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800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2A4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2,627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3663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47C2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CDFD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6763B056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0766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1BBD4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A3C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7,667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165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25,184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1CEC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6E44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0BA9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8B589D" w:rsidRPr="00140A25" w14:paraId="1EDCA9BC" w14:textId="77777777" w:rsidTr="00816066">
        <w:trPr>
          <w:trHeight w:hRule="exact" w:val="187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BFE3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ნიდერლანდები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4FD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C5F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125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87C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411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EA35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D872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73D7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51E6D581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8660B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F782E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61C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453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5D7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1,489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5A62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512C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5.10%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DE42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3ECD232E" w14:textId="77777777" w:rsidTr="00816066">
        <w:trPr>
          <w:trHeight w:hRule="exact" w:val="187"/>
        </w:trPr>
        <w:tc>
          <w:tcPr>
            <w:tcW w:w="151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A330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აშშ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1C7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D0C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153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1ED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503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EC89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2225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B78F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7E61BECF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B6810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40B2C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7D4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7,014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AD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23,037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3936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A496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DF73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8B589D" w:rsidRPr="00140A25" w14:paraId="3EA49EA1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2167F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5AD07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A36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4,204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B48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13,808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EE19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1ACE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2.25%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22F1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8B589D" w:rsidRPr="00140A25" w14:paraId="277AF544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65F47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20A00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685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6,126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A6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20,120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EF81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12A2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B0E2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8B589D" w:rsidRPr="00140A25" w14:paraId="1CE46B93" w14:textId="77777777" w:rsidTr="00816066">
        <w:trPr>
          <w:trHeight w:hRule="exact" w:val="187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F849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საფრანგეთი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E66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EE1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13,158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893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43,218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A725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18DB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0.17%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7311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2E70440A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F9CCE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F395E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9D4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22,026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53E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72,343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7DBE1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1D42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1.10%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5335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8B589D" w:rsidRPr="00140A25" w14:paraId="1C6D57F1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EF19A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75CBE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968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17,633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7B8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57,916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1083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510D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1.27%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36F9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8B589D" w:rsidRPr="00140A25" w14:paraId="426C7A5D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368BB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59FE8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62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31,701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06D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104,124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14D2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A9B9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1.41%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03E2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8B589D" w:rsidRPr="00140A25" w14:paraId="22812545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F1DB9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4172D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F27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238,028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B6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781,804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ECAA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1599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0.25%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69F1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8B589D" w:rsidRPr="00140A25" w14:paraId="01EE9092" w14:textId="77777777" w:rsidTr="00816066">
        <w:trPr>
          <w:trHeight w:hRule="exact" w:val="187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F9697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1067B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7E8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2,709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56A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8,897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28C2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EURIBOR + 2.1%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695D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2.10%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F60B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8B589D" w:rsidRPr="00140A25" w14:paraId="1ADB2798" w14:textId="77777777" w:rsidTr="00816066">
        <w:trPr>
          <w:trHeight w:hRule="exact" w:val="359"/>
        </w:trPr>
        <w:tc>
          <w:tcPr>
            <w:tcW w:w="1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82CF214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r w:rsidRPr="00140A2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F4FB638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200E61B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62C7FF2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1,642,250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2D953CB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5145EF86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302BB6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8B589D" w:rsidRPr="00140A25" w14:paraId="1789A935" w14:textId="77777777" w:rsidTr="00816066">
        <w:trPr>
          <w:trHeight w:hRule="exact" w:val="359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C444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sz w:val="18"/>
                <w:szCs w:val="18"/>
              </w:rPr>
              <w:t>ევროობლიგაცია</w:t>
            </w:r>
            <w:r w:rsidRPr="00140A25">
              <w:rPr>
                <w:rFonts w:ascii="Calibri" w:eastAsia="Times New Roman" w:hAnsi="Calibri" w:cs="Calibri"/>
                <w:sz w:val="18"/>
                <w:szCs w:val="18"/>
              </w:rPr>
              <w:t xml:space="preserve"> 2021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519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4B53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500,000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573E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1,642,250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B9FD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F0667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6.875%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58E1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0.632%</w:t>
            </w:r>
          </w:p>
        </w:tc>
      </w:tr>
      <w:tr w:rsidR="008B589D" w:rsidRPr="00140A25" w14:paraId="2F2D5CE8" w14:textId="77777777" w:rsidTr="00816066">
        <w:trPr>
          <w:trHeight w:hRule="exact" w:val="359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72D1259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გარანტირებული</w:t>
            </w:r>
            <w:r w:rsidRPr="00140A2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კრედიტები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725ADB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3B86D120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1,661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3E118B92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5,457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42243CC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033D595F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39A3D45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8B589D" w:rsidRPr="00140A25" w14:paraId="0FFCF70C" w14:textId="77777777" w:rsidTr="00816066">
        <w:trPr>
          <w:trHeight w:hRule="exact" w:val="359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FCC8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Sylfaen" w:eastAsia="Times New Roman" w:hAnsi="Sylfaen" w:cs="Sylfaen"/>
                <w:sz w:val="16"/>
                <w:szCs w:val="16"/>
              </w:rPr>
              <w:t>გერმანია</w:t>
            </w: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 xml:space="preserve"> (KfW)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6FF4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C1AC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1,661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E21D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5,457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B4B7A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B5219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96D9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8B589D" w:rsidRPr="00140A25" w14:paraId="0B18B5F3" w14:textId="77777777" w:rsidTr="00816066">
        <w:trPr>
          <w:trHeight w:hRule="exact" w:val="539"/>
        </w:trPr>
        <w:tc>
          <w:tcPr>
            <w:tcW w:w="1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9E30A4" w14:textId="77777777" w:rsidR="008B589D" w:rsidRPr="00140A25" w:rsidRDefault="008B589D" w:rsidP="008B589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0A2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5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DBD0701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140A25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საშუალო</w:t>
            </w:r>
            <w:r w:rsidRPr="00140A2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შეწონილი</w:t>
            </w:r>
            <w:r w:rsidRPr="00140A2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საპროცენტო</w:t>
            </w:r>
            <w:r w:rsidRPr="00140A2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140A25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განაკვეთი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7C27BEB" w14:textId="77777777" w:rsidR="008B589D" w:rsidRPr="00140A25" w:rsidRDefault="008B589D" w:rsidP="008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140A2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1.90%</w:t>
            </w:r>
          </w:p>
        </w:tc>
      </w:tr>
    </w:tbl>
    <w:p w14:paraId="4E08DB02" w14:textId="77777777" w:rsidR="00D02027" w:rsidRPr="00140A25" w:rsidRDefault="00D02027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14:paraId="147E40E1" w14:textId="7AE2E6B9" w:rsidR="00FB01F8" w:rsidRPr="001D18C1" w:rsidRDefault="00C3279B" w:rsidP="001D18C1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br w:type="page"/>
      </w:r>
      <w:r w:rsidR="00BE093C" w:rsidRPr="00140A25">
        <w:rPr>
          <w:rFonts w:ascii="Sylfaen" w:hAnsi="Sylfaen" w:cs="Sylfaen"/>
          <w:szCs w:val="21"/>
          <w:shd w:val="clear" w:color="auto" w:fill="FFFFFF"/>
          <w:lang w:val="ka-GE"/>
        </w:rPr>
        <w:lastRenderedPageBreak/>
        <w:t xml:space="preserve">მთავრობის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F5720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C34061" w:rsidRPr="00140A25">
        <w:rPr>
          <w:rFonts w:ascii="Sylfaen" w:hAnsi="Sylfaen" w:cs="Sylfaen"/>
          <w:szCs w:val="21"/>
          <w:shd w:val="clear" w:color="auto" w:fill="FFFFFF"/>
        </w:rPr>
        <w:t>20</w:t>
      </w:r>
      <w:r w:rsidR="000F5720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784855" w:rsidRPr="00140A25">
        <w:rPr>
          <w:rFonts w:ascii="Sylfaen" w:hAnsi="Sylfaen" w:cs="Sylfaen"/>
          <w:szCs w:val="21"/>
          <w:shd w:val="clear" w:color="auto" w:fill="FFFFFF"/>
        </w:rPr>
        <w:t xml:space="preserve">I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კვარტლის განმავლობაში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სახელმწიფო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დაიხარჯა </w:t>
      </w:r>
      <w:r w:rsidR="0087661E" w:rsidRPr="00140A25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C240B6" w:rsidRPr="00140A25">
        <w:rPr>
          <w:rFonts w:ascii="Sylfaen" w:hAnsi="Sylfaen" w:cs="Sylfaen"/>
          <w:szCs w:val="21"/>
          <w:shd w:val="clear" w:color="auto" w:fill="FFFFFF"/>
          <w:lang w:val="ka-GE"/>
        </w:rPr>
        <w:t>99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C240B6" w:rsidRPr="00140A25">
        <w:rPr>
          <w:rFonts w:ascii="Sylfaen" w:hAnsi="Sylfaen" w:cs="Sylfaen"/>
          <w:szCs w:val="21"/>
          <w:shd w:val="clear" w:color="auto" w:fill="FFFFFF"/>
          <w:lang w:val="ka-GE"/>
        </w:rPr>
        <w:t>714.6</w:t>
      </w:r>
      <w:r w:rsidR="009F177E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მათ შორის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C240B6" w:rsidRPr="00140A25">
        <w:rPr>
          <w:rFonts w:ascii="Sylfaen" w:hAnsi="Sylfaen" w:cs="Sylfaen"/>
          <w:szCs w:val="21"/>
          <w:shd w:val="clear" w:color="auto" w:fill="FFFFFF"/>
          <w:lang w:val="ka-GE"/>
        </w:rPr>
        <w:t>39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C240B6" w:rsidRPr="00140A25">
        <w:rPr>
          <w:rFonts w:ascii="Sylfaen" w:hAnsi="Sylfaen" w:cs="Sylfaen"/>
          <w:szCs w:val="21"/>
          <w:shd w:val="clear" w:color="auto" w:fill="FFFFFF"/>
          <w:lang w:val="ka-GE"/>
        </w:rPr>
        <w:t>845</w:t>
      </w:r>
      <w:r w:rsidR="009F177E" w:rsidRPr="00140A25">
        <w:rPr>
          <w:rFonts w:ascii="Sylfaen" w:hAnsi="Sylfaen" w:cs="Sylfaen"/>
          <w:szCs w:val="21"/>
          <w:shd w:val="clear" w:color="auto" w:fill="FFFFFF"/>
        </w:rPr>
        <w:t>.</w:t>
      </w:r>
      <w:r w:rsidR="00C240B6" w:rsidRPr="00140A25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9F177E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C240B6" w:rsidRPr="00140A25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C240B6" w:rsidRPr="00140A25">
        <w:rPr>
          <w:rFonts w:ascii="Sylfaen" w:hAnsi="Sylfaen" w:cs="Sylfaen"/>
          <w:szCs w:val="21"/>
          <w:shd w:val="clear" w:color="auto" w:fill="FFFFFF"/>
          <w:lang w:val="ka-GE"/>
        </w:rPr>
        <w:t>869</w:t>
      </w:r>
      <w:r w:rsidR="009F177E" w:rsidRPr="00140A25">
        <w:rPr>
          <w:rFonts w:ascii="Sylfaen" w:hAnsi="Sylfaen" w:cs="Sylfaen"/>
          <w:szCs w:val="21"/>
          <w:shd w:val="clear" w:color="auto" w:fill="FFFFFF"/>
        </w:rPr>
        <w:t>.</w:t>
      </w:r>
      <w:r w:rsidR="00C240B6" w:rsidRPr="00140A25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9F177E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661E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-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14:paraId="4A8BB33B" w14:textId="77777777" w:rsidR="004816BC" w:rsidRPr="00140A25" w:rsidRDefault="00FE7942" w:rsidP="00FB01F8">
      <w:pPr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 ვალდებულებების მომსახურება და დაფარვა</w:t>
      </w:r>
      <w:r w:rsidR="00FB01F8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F5720" w:rsidRPr="00140A25">
        <w:rPr>
          <w:rFonts w:ascii="Sylfaen" w:hAnsi="Sylfaen"/>
          <w:b/>
          <w:lang w:val="ka-GE"/>
        </w:rPr>
        <w:t>20</w:t>
      </w:r>
      <w:r w:rsidR="00897C6B">
        <w:rPr>
          <w:rFonts w:ascii="Sylfaen" w:hAnsi="Sylfaen"/>
          <w:b/>
        </w:rPr>
        <w:t>20</w:t>
      </w:r>
      <w:r w:rsidR="000F5720" w:rsidRPr="00140A25">
        <w:rPr>
          <w:rFonts w:ascii="Sylfaen" w:hAnsi="Sylfaen"/>
          <w:b/>
          <w:lang w:val="ka-GE"/>
        </w:rPr>
        <w:t xml:space="preserve"> წლის </w:t>
      </w:r>
      <w:r w:rsidR="009F177E" w:rsidRPr="00140A25">
        <w:rPr>
          <w:rFonts w:ascii="Sylfaen" w:hAnsi="Sylfaen"/>
          <w:b/>
          <w:lang w:val="ka-GE"/>
        </w:rPr>
        <w:t>31</w:t>
      </w:r>
      <w:r w:rsidR="000F5720" w:rsidRPr="00140A25">
        <w:rPr>
          <w:rFonts w:ascii="Sylfaen" w:hAnsi="Sylfaen"/>
          <w:b/>
          <w:lang w:val="ka-GE"/>
        </w:rPr>
        <w:t xml:space="preserve"> </w:t>
      </w:r>
      <w:r w:rsidR="00784855" w:rsidRPr="00140A25">
        <w:rPr>
          <w:rFonts w:ascii="Sylfaen" w:hAnsi="Sylfaen"/>
          <w:b/>
          <w:lang w:val="ka-GE"/>
        </w:rPr>
        <w:t>მარტის</w:t>
      </w:r>
      <w:r w:rsidR="00FD691A" w:rsidRPr="00140A25">
        <w:rPr>
          <w:rFonts w:ascii="Sylfaen" w:hAnsi="Sylfaen"/>
          <w:b/>
          <w:lang w:val="ka-GE"/>
        </w:rPr>
        <w:t xml:space="preserve"> მდგომარეობით</w:t>
      </w:r>
    </w:p>
    <w:p w14:paraId="6C67C0D0" w14:textId="77777777" w:rsidR="00FB01F8" w:rsidRPr="00AD59D0" w:rsidRDefault="00AD59D0" w:rsidP="001D18C1">
      <w:pPr>
        <w:tabs>
          <w:tab w:val="left" w:pos="0"/>
        </w:tabs>
        <w:spacing w:after="0" w:line="240" w:lineRule="auto"/>
        <w:ind w:right="99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AD59D0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FB01F8" w:rsidRPr="00AD59D0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p w14:paraId="635CD85B" w14:textId="77777777" w:rsidR="006F461C" w:rsidRPr="00140A25" w:rsidRDefault="006F461C" w:rsidP="00FB01F8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0"/>
        <w:gridCol w:w="2529"/>
        <w:gridCol w:w="2136"/>
        <w:gridCol w:w="2275"/>
      </w:tblGrid>
      <w:tr w:rsidR="00C81C7D" w:rsidRPr="00140A25" w14:paraId="37D54C79" w14:textId="77777777" w:rsidTr="001D18C1">
        <w:trPr>
          <w:trHeight w:val="600"/>
        </w:trPr>
        <w:tc>
          <w:tcPr>
            <w:tcW w:w="16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5115E" w14:textId="77777777" w:rsidR="00C81C7D" w:rsidRPr="00AD59D0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D59D0">
              <w:rPr>
                <w:rFonts w:ascii="Sylfaen" w:eastAsia="Times New Roman" w:hAnsi="Sylfaen" w:cs="Sylfaen"/>
                <w:b/>
                <w:color w:val="000000"/>
              </w:rPr>
              <w:t>კრედიტორები</w:t>
            </w:r>
          </w:p>
        </w:tc>
        <w:tc>
          <w:tcPr>
            <w:tcW w:w="122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83C16" w14:textId="77777777" w:rsidR="00C81C7D" w:rsidRPr="00AD59D0" w:rsidRDefault="00C81C7D" w:rsidP="00AD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D59D0">
              <w:rPr>
                <w:rFonts w:ascii="Sylfaen" w:eastAsia="Times New Roman" w:hAnsi="Sylfaen" w:cs="Sylfaen"/>
                <w:b/>
                <w:color w:val="000000"/>
              </w:rPr>
              <w:t>ვალების</w:t>
            </w:r>
            <w:r w:rsidRPr="00AD59D0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AD59D0">
              <w:rPr>
                <w:rFonts w:ascii="Sylfaen" w:eastAsia="Times New Roman" w:hAnsi="Sylfaen" w:cs="Sylfaen"/>
                <w:b/>
                <w:color w:val="000000"/>
              </w:rPr>
              <w:t>დაფარვა</w:t>
            </w:r>
          </w:p>
        </w:tc>
        <w:tc>
          <w:tcPr>
            <w:tcW w:w="103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5D211" w14:textId="77777777" w:rsidR="00C81C7D" w:rsidRPr="00AD59D0" w:rsidRDefault="00C81C7D" w:rsidP="00AD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D59D0">
              <w:rPr>
                <w:rFonts w:ascii="Sylfaen" w:eastAsia="Times New Roman" w:hAnsi="Sylfaen" w:cs="Sylfaen"/>
                <w:b/>
                <w:color w:val="000000"/>
              </w:rPr>
              <w:t>პროცენტი</w:t>
            </w:r>
          </w:p>
        </w:tc>
        <w:tc>
          <w:tcPr>
            <w:tcW w:w="110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880E3" w14:textId="77777777" w:rsidR="00C81C7D" w:rsidRPr="00AD59D0" w:rsidRDefault="00C81C7D" w:rsidP="00AD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D59D0">
              <w:rPr>
                <w:rFonts w:ascii="Sylfaen" w:eastAsia="Times New Roman" w:hAnsi="Sylfaen" w:cs="Sylfaen"/>
                <w:b/>
                <w:color w:val="000000"/>
              </w:rPr>
              <w:t>სულ</w:t>
            </w:r>
            <w:r w:rsidRPr="00AD59D0">
              <w:rPr>
                <w:rFonts w:ascii="Calibri" w:eastAsia="Times New Roman" w:hAnsi="Calibri" w:cs="Calibri"/>
                <w:b/>
                <w:color w:val="000000"/>
              </w:rPr>
              <w:t xml:space="preserve"> 2020</w:t>
            </w:r>
          </w:p>
        </w:tc>
      </w:tr>
      <w:tr w:rsidR="00C81C7D" w:rsidRPr="00140A25" w14:paraId="5717578E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E386CA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Sylfaen" w:eastAsia="Times New Roman" w:hAnsi="Sylfaen" w:cs="Sylfaen"/>
                <w:color w:val="000000"/>
                <w:sz w:val="20"/>
              </w:rPr>
              <w:t>ავსტრია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B6BC24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5C72DD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156.8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AF748F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156.</w:t>
            </w:r>
            <w:r w:rsidR="00F1789E">
              <w:rPr>
                <w:rFonts w:ascii="Calibri" w:eastAsia="Times New Roman" w:hAnsi="Calibri" w:cs="Calibri"/>
                <w:color w:val="000000"/>
                <w:sz w:val="20"/>
              </w:rPr>
              <w:t>8</w:t>
            </w: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</w:tr>
      <w:tr w:rsidR="00C81C7D" w:rsidRPr="00140A25" w14:paraId="62A48646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86D8F9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Sylfaen" w:eastAsia="Times New Roman" w:hAnsi="Sylfaen" w:cs="Sylfaen"/>
                <w:color w:val="000000"/>
                <w:sz w:val="20"/>
              </w:rPr>
              <w:t>კუვეიტი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3EA200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1,258.0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D98FCD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339.8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6E6EFB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1,597.8 </w:t>
            </w:r>
          </w:p>
        </w:tc>
      </w:tr>
      <w:tr w:rsidR="00C81C7D" w:rsidRPr="00140A25" w14:paraId="5E575F07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C00544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Sylfaen" w:eastAsia="Times New Roman" w:hAnsi="Sylfaen" w:cs="Sylfaen"/>
                <w:color w:val="000000"/>
                <w:sz w:val="20"/>
              </w:rPr>
              <w:t>იაპონია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96F9BD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3,742.5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F7A10D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697.9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EA3DF3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4,440.4 </w:t>
            </w:r>
          </w:p>
        </w:tc>
      </w:tr>
      <w:tr w:rsidR="00C81C7D" w:rsidRPr="00140A25" w14:paraId="05B8DF5F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E581E2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Sylfaen" w:eastAsia="Times New Roman" w:hAnsi="Sylfaen" w:cs="Sylfaen"/>
                <w:color w:val="000000"/>
                <w:sz w:val="20"/>
              </w:rPr>
              <w:t>გერმანია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B49BFB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D0E710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1,912.3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3D4CD1" w14:textId="77777777" w:rsidR="00C81C7D" w:rsidRPr="00C81C7D" w:rsidRDefault="00F1789E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1,912.3</w:t>
            </w:r>
            <w:r w:rsidR="00C81C7D"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</w:tr>
      <w:tr w:rsidR="00C81C7D" w:rsidRPr="00140A25" w14:paraId="0A6ED7BA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5DF34A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Sylfaen" w:eastAsia="Times New Roman" w:hAnsi="Sylfaen" w:cs="Sylfaen"/>
                <w:color w:val="000000"/>
                <w:sz w:val="20"/>
              </w:rPr>
              <w:t>აშშ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4B2510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1,068.1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D9C616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143.8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90E35B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1,211.</w:t>
            </w:r>
            <w:r w:rsidR="00F1789E">
              <w:rPr>
                <w:rFonts w:ascii="Calibri" w:eastAsia="Times New Roman" w:hAnsi="Calibri" w:cs="Calibri"/>
                <w:color w:val="000000"/>
                <w:sz w:val="20"/>
              </w:rPr>
              <w:t>9</w:t>
            </w: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</w:tr>
      <w:tr w:rsidR="00C81C7D" w:rsidRPr="00140A25" w14:paraId="5752641D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56C0DA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Sylfaen" w:eastAsia="Times New Roman" w:hAnsi="Sylfaen" w:cs="Sylfaen"/>
                <w:color w:val="000000"/>
                <w:sz w:val="20"/>
              </w:rPr>
              <w:t>სომხეთი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315391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1,006.8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5FE2DA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220.8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8EA4BB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1,227.</w:t>
            </w:r>
            <w:r w:rsidR="00F1789E"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</w:tr>
      <w:tr w:rsidR="00C81C7D" w:rsidRPr="00140A25" w14:paraId="1CD0CBD0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D77FA2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Sylfaen" w:eastAsia="Times New Roman" w:hAnsi="Sylfaen" w:cs="Sylfaen"/>
                <w:color w:val="000000"/>
                <w:sz w:val="20"/>
              </w:rPr>
              <w:t>აზერბაიჯანი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482E2F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1,141.4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20B416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246.8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A9A94E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1,388.</w:t>
            </w:r>
            <w:r w:rsidR="00F1789E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</w:tr>
      <w:tr w:rsidR="00C81C7D" w:rsidRPr="00140A25" w14:paraId="7B7911D2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27A011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Sylfaen" w:eastAsia="Times New Roman" w:hAnsi="Sylfaen" w:cs="Sylfaen"/>
                <w:color w:val="000000"/>
                <w:sz w:val="20"/>
              </w:rPr>
              <w:t>ირანი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3453D0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832.5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802FC6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180.5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B59745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1,013.</w:t>
            </w:r>
            <w:r w:rsidR="00F1789E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</w:tr>
      <w:tr w:rsidR="00C81C7D" w:rsidRPr="00140A25" w14:paraId="59FBBA7D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ADAABC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Sylfaen" w:eastAsia="Times New Roman" w:hAnsi="Sylfaen" w:cs="Sylfaen"/>
                <w:color w:val="000000"/>
                <w:sz w:val="20"/>
              </w:rPr>
              <w:t>ყაზახეთი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7BDB78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2,918.3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9F5719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1,760.3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DD1F04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4,678.</w:t>
            </w:r>
            <w:r w:rsidR="00F1789E"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</w:tr>
      <w:tr w:rsidR="00C81C7D" w:rsidRPr="00140A25" w14:paraId="4D9B6F33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2E25AD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Sylfaen" w:eastAsia="Times New Roman" w:hAnsi="Sylfaen" w:cs="Sylfaen"/>
                <w:color w:val="000000"/>
                <w:sz w:val="20"/>
              </w:rPr>
              <w:t>ნიდერლანდები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6836A3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25.4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04EE6C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7.7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3B6B98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33.1 </w:t>
            </w:r>
          </w:p>
        </w:tc>
      </w:tr>
      <w:tr w:rsidR="00C81C7D" w:rsidRPr="00140A25" w14:paraId="1FB098D1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05CE38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Sylfaen" w:eastAsia="Times New Roman" w:hAnsi="Sylfaen" w:cs="Sylfaen"/>
                <w:color w:val="000000"/>
                <w:sz w:val="20"/>
              </w:rPr>
              <w:t>რუსეთი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C51A40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7,801.6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8CF646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2,280.8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D099FF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10,082.</w:t>
            </w:r>
            <w:r w:rsidR="00F1789E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</w:tr>
      <w:tr w:rsidR="00C81C7D" w:rsidRPr="00140A25" w14:paraId="14D493C4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E340D9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Sylfaen" w:eastAsia="Times New Roman" w:hAnsi="Sylfaen" w:cs="Sylfaen"/>
                <w:color w:val="000000"/>
                <w:sz w:val="20"/>
              </w:rPr>
              <w:t>თურქეთი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3BA424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2,222.4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14D4B7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527.9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314FF1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2,750.</w:t>
            </w:r>
            <w:r w:rsidR="00F1789E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</w:tr>
      <w:tr w:rsidR="00C81C7D" w:rsidRPr="00140A25" w14:paraId="1EB435D7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35770F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Sylfaen" w:eastAsia="Times New Roman" w:hAnsi="Sylfaen" w:cs="Sylfaen"/>
                <w:color w:val="000000"/>
                <w:sz w:val="20"/>
              </w:rPr>
              <w:t>საფრანგეთი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253E69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6,343.6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D81252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1,661.4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4394E7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8,005.0 </w:t>
            </w:r>
          </w:p>
        </w:tc>
      </w:tr>
      <w:tr w:rsidR="00C81C7D" w:rsidRPr="00140A25" w14:paraId="31D9924C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823D5F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>IDA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7904D5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97,399.1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BB3660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9,339.6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21C6EF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</w:t>
            </w:r>
            <w:r w:rsidR="00F1789E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106,738.7 </w:t>
            </w:r>
          </w:p>
        </w:tc>
      </w:tr>
      <w:tr w:rsidR="00C81C7D" w:rsidRPr="00140A25" w14:paraId="36F563A4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CE2E6D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>IBRD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D7C3A5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18,219.9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7965B1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17,804.2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3EEC21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36,024.1 </w:t>
            </w:r>
          </w:p>
        </w:tc>
      </w:tr>
      <w:tr w:rsidR="00C81C7D" w:rsidRPr="00140A25" w14:paraId="2AAA1FA3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FC5724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>IFAD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A8096C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2,104.6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7E4C21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519.5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3B43F1" w14:textId="77777777" w:rsidR="00C81C7D" w:rsidRPr="00C81C7D" w:rsidRDefault="00F1789E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2,624.1</w:t>
            </w:r>
            <w:r w:rsidR="00C81C7D"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</w:tr>
      <w:tr w:rsidR="00C81C7D" w:rsidRPr="00140A25" w14:paraId="214CE20A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8C74B3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>EBRD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65D19E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14,165.3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276506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1,153.8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5B9416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15,319.1 </w:t>
            </w:r>
          </w:p>
        </w:tc>
      </w:tr>
      <w:tr w:rsidR="00C81C7D" w:rsidRPr="00140A25" w14:paraId="4783AD00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886F81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>EIB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2A617C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1,866.8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EA9FAB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3,409.7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FC6A38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5,276.5 </w:t>
            </w:r>
          </w:p>
        </w:tc>
      </w:tr>
      <w:tr w:rsidR="00C81C7D" w:rsidRPr="00140A25" w14:paraId="7C267C8A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90BDDB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>ADB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D040C4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77,728.9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51809B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16,511.0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BFBF9B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94,239.</w:t>
            </w:r>
            <w:r w:rsidR="00F1789E">
              <w:rPr>
                <w:rFonts w:ascii="Calibri" w:eastAsia="Times New Roman" w:hAnsi="Calibri" w:cs="Calibri"/>
                <w:color w:val="000000"/>
                <w:sz w:val="20"/>
              </w:rPr>
              <w:t>9</w:t>
            </w: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</w:tr>
      <w:tr w:rsidR="00C81C7D" w:rsidRPr="00140A25" w14:paraId="7FEE06BE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84B52A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>IMF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26EFFC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D18DC2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50.0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3824F1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50.0 </w:t>
            </w:r>
          </w:p>
        </w:tc>
      </w:tr>
      <w:tr w:rsidR="00C81C7D" w:rsidRPr="00140A25" w14:paraId="364DBC62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859504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>EU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2AD2B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AA27FC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913.5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CCAE76" w14:textId="77777777" w:rsidR="00C81C7D" w:rsidRPr="00C81C7D" w:rsidRDefault="00C81C7D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913.5 </w:t>
            </w:r>
          </w:p>
        </w:tc>
      </w:tr>
      <w:tr w:rsidR="00C81C7D" w:rsidRPr="00140A25" w14:paraId="0B06547A" w14:textId="77777777" w:rsidTr="001D18C1">
        <w:trPr>
          <w:trHeight w:val="300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40DB6F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>NEFCO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2F1760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       -  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A0A6D9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31.4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2DBF08" w14:textId="77777777" w:rsidR="00C81C7D" w:rsidRPr="00C81C7D" w:rsidRDefault="00F1789E" w:rsidP="00F17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       31.4</w:t>
            </w:r>
            <w:r w:rsidR="00C81C7D" w:rsidRPr="00C81C7D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</w:tr>
      <w:tr w:rsidR="00C81C7D" w:rsidRPr="00140A25" w14:paraId="4DCC8AF5" w14:textId="77777777" w:rsidTr="001D18C1">
        <w:trPr>
          <w:trHeight w:val="473"/>
        </w:trPr>
        <w:tc>
          <w:tcPr>
            <w:tcW w:w="164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E37323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1C7D">
              <w:rPr>
                <w:rFonts w:ascii="Sylfaen" w:eastAsia="Times New Roman" w:hAnsi="Sylfaen" w:cs="Sylfaen"/>
                <w:b/>
                <w:bCs/>
                <w:color w:val="000000"/>
              </w:rPr>
              <w:t>სულ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C4BCA4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1C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239,845.2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859885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1C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59,869.4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392852" w14:textId="77777777" w:rsidR="00C81C7D" w:rsidRPr="00C81C7D" w:rsidRDefault="00C81C7D" w:rsidP="00C81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1C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299,714.6 </w:t>
            </w:r>
          </w:p>
        </w:tc>
      </w:tr>
    </w:tbl>
    <w:p w14:paraId="3AFBC98C" w14:textId="77777777" w:rsidR="006F461C" w:rsidRPr="00140A25" w:rsidRDefault="006F461C" w:rsidP="00FB01F8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p w14:paraId="24FCC557" w14:textId="1DD0FECA" w:rsidR="009E33C4" w:rsidRPr="00140A25" w:rsidRDefault="00B57E95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i/>
          <w:sz w:val="16"/>
          <w:szCs w:val="16"/>
          <w:lang w:val="ka-GE"/>
        </w:rPr>
      </w:pPr>
      <w:r w:rsidRPr="00140A25">
        <w:rPr>
          <w:rFonts w:ascii="Sylfaen" w:hAnsi="Sylfaen"/>
          <w:b/>
          <w:sz w:val="12"/>
          <w:szCs w:val="1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102B6743" w14:textId="77777777" w:rsidR="00A8306F" w:rsidRPr="00140A25" w:rsidRDefault="00A8306F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14:paraId="6C2521D8" w14:textId="77777777" w:rsidR="00396821" w:rsidRDefault="0096735A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 w:rsidRPr="00140A25">
        <w:rPr>
          <w:rFonts w:ascii="Sylfaen" w:hAnsi="Sylfaen" w:cs="Sylfaen"/>
          <w:szCs w:val="21"/>
          <w:shd w:val="clear" w:color="auto" w:fill="FFFFFF"/>
        </w:rPr>
        <w:tab/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164B20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>
        <w:rPr>
          <w:rFonts w:ascii="Sylfaen" w:hAnsi="Sylfaen" w:cs="Sylfaen"/>
          <w:szCs w:val="21"/>
          <w:shd w:val="clear" w:color="auto" w:fill="FFFFFF"/>
        </w:rPr>
        <w:t>2020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396821" w:rsidRPr="00164B20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 xml:space="preserve">მარტის 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>
        <w:rPr>
          <w:rFonts w:ascii="Sylfaen" w:hAnsi="Sylfaen" w:cs="Sylfaen"/>
          <w:szCs w:val="21"/>
          <w:shd w:val="clear" w:color="auto" w:fill="FFFFFF"/>
        </w:rPr>
        <w:t>.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396821" w:rsidRPr="00164B20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821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14:paraId="6790579F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ვალის ნაშთმა </w:t>
      </w:r>
      <w:r>
        <w:rPr>
          <w:rFonts w:ascii="Sylfaen" w:hAnsi="Sylfaen" w:cs="Sylfaen"/>
          <w:shd w:val="clear" w:color="auto" w:fill="FFFFFF"/>
          <w:lang w:val="ka-GE"/>
        </w:rPr>
        <w:t>2020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>
        <w:rPr>
          <w:rFonts w:ascii="Sylfaen" w:hAnsi="Sylfaen" w:cs="Sylfaen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მდგომარეობით შეადგ</w:t>
      </w:r>
      <w:r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>ნ</w:t>
      </w:r>
      <w:r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shd w:val="clear" w:color="auto" w:fill="FFFFFF"/>
          <w:lang w:val="ka-GE"/>
        </w:rPr>
        <w:t>4,</w:t>
      </w:r>
      <w:r w:rsidR="00B4541C">
        <w:rPr>
          <w:rFonts w:ascii="Sylfaen" w:hAnsi="Sylfaen" w:cs="Sylfaen"/>
          <w:shd w:val="clear" w:color="auto" w:fill="FFFFFF"/>
          <w:lang w:val="ka-GE"/>
        </w:rPr>
        <w:t>511</w:t>
      </w:r>
      <w:r>
        <w:rPr>
          <w:rFonts w:ascii="Sylfaen" w:hAnsi="Sylfaen" w:cs="Sylfaen"/>
          <w:shd w:val="clear" w:color="auto" w:fill="FFFFFF"/>
          <w:lang w:val="ka-GE"/>
        </w:rPr>
        <w:t>.</w:t>
      </w:r>
      <w:r w:rsidR="00B4541C">
        <w:rPr>
          <w:rFonts w:ascii="Sylfaen" w:hAnsi="Sylfaen" w:cs="Sylfaen"/>
          <w:shd w:val="clear" w:color="auto" w:fill="FFFFFF"/>
          <w:lang w:val="ka-GE"/>
        </w:rPr>
        <w:t>8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>
        <w:rPr>
          <w:rFonts w:ascii="Sylfaen" w:hAnsi="Sylfaen" w:cs="Sylfaen"/>
          <w:shd w:val="clear" w:color="auto" w:fill="FFFFFF"/>
          <w:lang w:val="ka-GE"/>
        </w:rPr>
        <w:t>(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- </w:t>
      </w:r>
      <w:r>
        <w:rPr>
          <w:rFonts w:ascii="Sylfaen" w:hAnsi="Sylfaen" w:cs="Sylfaen"/>
          <w:shd w:val="clear" w:color="auto" w:fill="FFFFFF"/>
          <w:lang w:val="ka-GE"/>
        </w:rPr>
        <w:t>4,</w:t>
      </w:r>
      <w:r w:rsidR="00B4541C">
        <w:rPr>
          <w:rFonts w:ascii="Sylfaen" w:hAnsi="Sylfaen" w:cs="Sylfaen"/>
          <w:shd w:val="clear" w:color="auto" w:fill="FFFFFF"/>
          <w:lang w:val="ka-GE"/>
        </w:rPr>
        <w:t>557</w:t>
      </w:r>
      <w:r>
        <w:rPr>
          <w:rFonts w:ascii="Sylfaen" w:hAnsi="Sylfaen" w:cs="Sylfaen"/>
          <w:shd w:val="clear" w:color="auto" w:fill="FFFFFF"/>
          <w:lang w:val="ka-GE"/>
        </w:rPr>
        <w:t>.</w:t>
      </w:r>
      <w:r w:rsidR="00B4541C">
        <w:rPr>
          <w:rFonts w:ascii="Sylfaen" w:hAnsi="Sylfaen" w:cs="Sylfaen"/>
          <w:shd w:val="clear" w:color="auto" w:fill="FFFFFF"/>
          <w:lang w:val="ka-GE"/>
        </w:rPr>
        <w:t>9</w:t>
      </w:r>
      <w:r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მლნ ლარი</w:t>
      </w:r>
      <w:r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B4541C">
        <w:rPr>
          <w:rFonts w:ascii="Sylfaen" w:hAnsi="Sylfaen"/>
          <w:szCs w:val="21"/>
          <w:shd w:val="clear" w:color="auto" w:fill="FFFFFF"/>
          <w:lang w:val="ka-GE"/>
        </w:rPr>
        <w:t>4</w:t>
      </w:r>
      <w:r>
        <w:rPr>
          <w:rFonts w:ascii="Sylfaen" w:hAnsi="Sylfaen"/>
          <w:szCs w:val="21"/>
          <w:shd w:val="clear" w:color="auto" w:fill="FFFFFF"/>
          <w:lang w:val="ka-GE"/>
        </w:rPr>
        <w:t>.</w:t>
      </w:r>
      <w:r w:rsidR="00B4541C">
        <w:rPr>
          <w:rFonts w:ascii="Sylfaen" w:hAnsi="Sylfaen"/>
          <w:szCs w:val="21"/>
          <w:shd w:val="clear" w:color="auto" w:fill="FFFFFF"/>
          <w:lang w:val="ka-GE"/>
        </w:rPr>
        <w:t>4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B4541C">
        <w:rPr>
          <w:rFonts w:ascii="Sylfaen" w:hAnsi="Sylfaen" w:cs="Sylfaen"/>
          <w:shd w:val="clear" w:color="auto" w:fill="FFFFFF"/>
          <w:lang w:val="ka-GE"/>
        </w:rPr>
        <w:t>4,124.5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</w:t>
      </w:r>
      <w:r w:rsidR="00B4541C">
        <w:rPr>
          <w:rFonts w:ascii="Sylfaen" w:hAnsi="Sylfaen" w:cs="Sylfaen"/>
          <w:shd w:val="clear" w:color="auto" w:fill="FFFFFF"/>
        </w:rPr>
        <w:t>38</w:t>
      </w:r>
      <w:r>
        <w:rPr>
          <w:rFonts w:ascii="Sylfaen" w:hAnsi="Sylfaen" w:cs="Sylfaen"/>
          <w:shd w:val="clear" w:color="auto" w:fill="FFFFFF"/>
        </w:rPr>
        <w:t>2</w:t>
      </w:r>
      <w:r>
        <w:rPr>
          <w:rFonts w:ascii="Sylfaen" w:hAnsi="Sylfaen" w:cs="Sylfaen"/>
          <w:shd w:val="clear" w:color="auto" w:fill="FFFFFF"/>
          <w:lang w:val="ka-GE"/>
        </w:rPr>
        <w:t>.</w:t>
      </w:r>
      <w:r w:rsidRPr="00576720">
        <w:rPr>
          <w:rFonts w:ascii="Sylfaen" w:hAnsi="Sylfaen" w:cs="Sylfaen"/>
          <w:shd w:val="clear" w:color="auto" w:fill="FFFFFF"/>
          <w:lang w:val="ka-GE"/>
        </w:rPr>
        <w:t>8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</w:t>
      </w:r>
      <w:r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B4541C">
        <w:rPr>
          <w:rFonts w:ascii="Sylfaen" w:hAnsi="Sylfaen"/>
          <w:szCs w:val="21"/>
          <w:shd w:val="clear" w:color="auto" w:fill="FFFFFF"/>
          <w:lang w:val="ka-GE"/>
        </w:rPr>
        <w:t>4.4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>
        <w:rPr>
          <w:rFonts w:ascii="Sylfaen" w:hAnsi="Sylfaen"/>
          <w:szCs w:val="21"/>
          <w:shd w:val="clear" w:color="auto" w:fill="FFFFFF"/>
          <w:lang w:val="ka-GE"/>
        </w:rPr>
        <w:t>ი.</w:t>
      </w:r>
    </w:p>
    <w:p w14:paraId="277E6E37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38570CB2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7E8EE4E6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4AF03C65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14:paraId="7D49DDCF" w14:textId="77777777" w:rsidR="00396821" w:rsidRDefault="00B4541C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2020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396821">
        <w:rPr>
          <w:rFonts w:ascii="Sylfaen" w:hAnsi="Sylfaen" w:cs="Sylfaen"/>
          <w:b/>
          <w:sz w:val="20"/>
          <w:szCs w:val="20"/>
          <w:shd w:val="clear" w:color="auto" w:fill="FFFFFF"/>
        </w:rPr>
        <w:t>31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</w:rPr>
        <w:t xml:space="preserve"> </w:t>
      </w: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მარტის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მდგომარეობით</w:t>
      </w:r>
    </w:p>
    <w:p w14:paraId="15CF365A" w14:textId="77777777"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14:paraId="4964E0C1" w14:textId="77777777" w:rsidR="00396821" w:rsidRPr="00B2672E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14:paraId="3E0F1F95" w14:textId="77777777" w:rsidR="00396821" w:rsidRPr="00BB79CB" w:rsidRDefault="00396821" w:rsidP="00396821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BB79C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509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3078"/>
      </w:tblGrid>
      <w:tr w:rsidR="00B4541C" w:rsidRPr="00B34FAA" w14:paraId="01E4F822" w14:textId="77777777" w:rsidTr="00897C6B">
        <w:trPr>
          <w:trHeight w:val="343"/>
          <w:jc w:val="center"/>
        </w:trPr>
        <w:tc>
          <w:tcPr>
            <w:tcW w:w="3539" w:type="pct"/>
            <w:vAlign w:val="center"/>
            <w:hideMark/>
          </w:tcPr>
          <w:p w14:paraId="653B7E4E" w14:textId="77777777" w:rsidR="00B4541C" w:rsidRPr="00B34FAA" w:rsidRDefault="00B4541C" w:rsidP="00B4541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461" w:type="pct"/>
            <w:hideMark/>
          </w:tcPr>
          <w:p w14:paraId="366954BF" w14:textId="77777777" w:rsidR="00B4541C" w:rsidRPr="00B4541C" w:rsidRDefault="00B4541C" w:rsidP="00B4541C">
            <w:pPr>
              <w:jc w:val="right"/>
              <w:rPr>
                <w:b/>
              </w:rPr>
            </w:pPr>
            <w:r w:rsidRPr="00B4541C">
              <w:rPr>
                <w:b/>
              </w:rPr>
              <w:t>4 562 271,7</w:t>
            </w:r>
          </w:p>
        </w:tc>
      </w:tr>
      <w:tr w:rsidR="00B4541C" w:rsidRPr="00B34FAA" w14:paraId="540446F2" w14:textId="77777777" w:rsidTr="00897C6B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14:paraId="480FF489" w14:textId="77777777" w:rsidR="00B4541C" w:rsidRPr="00B34FAA" w:rsidRDefault="00B4541C" w:rsidP="00B4541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1461" w:type="pct"/>
            <w:hideMark/>
          </w:tcPr>
          <w:p w14:paraId="272510DA" w14:textId="77777777" w:rsidR="00B4541C" w:rsidRPr="00B4541C" w:rsidRDefault="00B4541C" w:rsidP="00B4541C">
            <w:pPr>
              <w:jc w:val="right"/>
              <w:rPr>
                <w:b/>
              </w:rPr>
            </w:pPr>
            <w:r w:rsidRPr="00B4541C">
              <w:rPr>
                <w:b/>
              </w:rPr>
              <w:t>4 175 020,0</w:t>
            </w:r>
          </w:p>
        </w:tc>
      </w:tr>
      <w:tr w:rsidR="00B4541C" w:rsidRPr="00B34FAA" w14:paraId="731206A7" w14:textId="77777777" w:rsidTr="00897C6B">
        <w:trPr>
          <w:trHeight w:val="288"/>
          <w:jc w:val="center"/>
        </w:trPr>
        <w:tc>
          <w:tcPr>
            <w:tcW w:w="3539" w:type="pct"/>
            <w:noWrap/>
            <w:vAlign w:val="center"/>
          </w:tcPr>
          <w:p w14:paraId="4322A441" w14:textId="77777777" w:rsidR="00B4541C" w:rsidRPr="00B34FAA" w:rsidRDefault="00B4541C" w:rsidP="00B4541C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6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თვის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</w:p>
        </w:tc>
        <w:tc>
          <w:tcPr>
            <w:tcW w:w="1461" w:type="pct"/>
          </w:tcPr>
          <w:p w14:paraId="2304327F" w14:textId="77777777" w:rsidR="00B4541C" w:rsidRPr="00797282" w:rsidRDefault="00B4541C" w:rsidP="00B4541C">
            <w:pPr>
              <w:jc w:val="right"/>
            </w:pPr>
            <w:r w:rsidRPr="00797282">
              <w:t>320 000,0</w:t>
            </w:r>
          </w:p>
        </w:tc>
      </w:tr>
      <w:tr w:rsidR="00B4541C" w:rsidRPr="00B34FAA" w14:paraId="5BC968F5" w14:textId="77777777" w:rsidTr="00897C6B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14:paraId="159630AD" w14:textId="77777777" w:rsidR="00B4541C" w:rsidRPr="00DD66EB" w:rsidRDefault="00B4541C" w:rsidP="00B4541C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12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თვის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461" w:type="pct"/>
            <w:hideMark/>
          </w:tcPr>
          <w:p w14:paraId="3DD62800" w14:textId="77777777" w:rsidR="00B4541C" w:rsidRPr="00797282" w:rsidRDefault="00B4541C" w:rsidP="00B4541C">
            <w:pPr>
              <w:jc w:val="right"/>
            </w:pPr>
            <w:r w:rsidRPr="00797282">
              <w:t>570 000,0</w:t>
            </w:r>
          </w:p>
        </w:tc>
      </w:tr>
      <w:tr w:rsidR="00B4541C" w:rsidRPr="00B34FAA" w14:paraId="6712E00F" w14:textId="77777777" w:rsidTr="00897C6B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14:paraId="58CC5A7D" w14:textId="77777777" w:rsidR="00B4541C" w:rsidRPr="00B34FAA" w:rsidRDefault="00B4541C" w:rsidP="00B4541C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2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461" w:type="pct"/>
            <w:hideMark/>
          </w:tcPr>
          <w:p w14:paraId="32B8654C" w14:textId="77777777" w:rsidR="00B4541C" w:rsidRPr="00797282" w:rsidRDefault="00B4541C" w:rsidP="00B4541C">
            <w:pPr>
              <w:jc w:val="right"/>
            </w:pPr>
            <w:r w:rsidRPr="00797282">
              <w:t>1 140 000,0</w:t>
            </w:r>
          </w:p>
        </w:tc>
      </w:tr>
      <w:tr w:rsidR="00B4541C" w:rsidRPr="00B34FAA" w14:paraId="176294EB" w14:textId="77777777" w:rsidTr="00897C6B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14:paraId="5A2A9C47" w14:textId="77777777" w:rsidR="00B4541C" w:rsidRPr="00B34FAA" w:rsidRDefault="00B4541C" w:rsidP="00B4541C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5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hideMark/>
          </w:tcPr>
          <w:p w14:paraId="2FBA4129" w14:textId="77777777" w:rsidR="00B4541C" w:rsidRPr="00797282" w:rsidRDefault="00B4541C" w:rsidP="00B4541C">
            <w:pPr>
              <w:jc w:val="right"/>
            </w:pPr>
            <w:r w:rsidRPr="00797282">
              <w:t>1 622 500,0</w:t>
            </w:r>
          </w:p>
        </w:tc>
      </w:tr>
      <w:tr w:rsidR="00B4541C" w:rsidRPr="00B34FAA" w14:paraId="5498A3D2" w14:textId="77777777" w:rsidTr="00897C6B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14:paraId="3BF7B8BD" w14:textId="77777777" w:rsidR="00B4541C" w:rsidRPr="00B34FAA" w:rsidRDefault="00B4541C" w:rsidP="00B4541C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10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hideMark/>
          </w:tcPr>
          <w:p w14:paraId="2976FB6F" w14:textId="77777777" w:rsidR="00B4541C" w:rsidRPr="00797282" w:rsidRDefault="00B4541C" w:rsidP="00B4541C">
            <w:pPr>
              <w:jc w:val="right"/>
            </w:pPr>
            <w:r w:rsidRPr="00797282">
              <w:t>522 520,0</w:t>
            </w:r>
          </w:p>
        </w:tc>
      </w:tr>
      <w:tr w:rsidR="00B4541C" w:rsidRPr="00B34FAA" w14:paraId="0B48AFA1" w14:textId="77777777" w:rsidTr="00897C6B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14:paraId="7ED1889A" w14:textId="77777777" w:rsidR="00B4541C" w:rsidRPr="00B34FAA" w:rsidRDefault="00B4541C" w:rsidP="00B4541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1461" w:type="pct"/>
          </w:tcPr>
          <w:p w14:paraId="47726991" w14:textId="77777777" w:rsidR="00B4541C" w:rsidRPr="00B4541C" w:rsidRDefault="00B4541C" w:rsidP="00B4541C">
            <w:pPr>
              <w:jc w:val="right"/>
              <w:rPr>
                <w:b/>
              </w:rPr>
            </w:pPr>
            <w:r w:rsidRPr="00B4541C">
              <w:rPr>
                <w:b/>
              </w:rPr>
              <w:t>382 846,0</w:t>
            </w:r>
          </w:p>
        </w:tc>
      </w:tr>
      <w:tr w:rsidR="00B4541C" w:rsidRPr="00B34FAA" w14:paraId="43FAA07D" w14:textId="77777777" w:rsidTr="00897C6B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14:paraId="7E865FB1" w14:textId="77777777" w:rsidR="00B4541C" w:rsidRPr="00B34FAA" w:rsidRDefault="00B4541C" w:rsidP="00B4541C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ობლიგაცია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სებ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-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სთვის</w:t>
            </w:r>
          </w:p>
        </w:tc>
        <w:tc>
          <w:tcPr>
            <w:tcW w:w="1461" w:type="pct"/>
            <w:hideMark/>
          </w:tcPr>
          <w:p w14:paraId="04120FF3" w14:textId="77777777" w:rsidR="00B4541C" w:rsidRPr="00797282" w:rsidRDefault="00B4541C" w:rsidP="00B4541C">
            <w:pPr>
              <w:jc w:val="right"/>
            </w:pPr>
            <w:r w:rsidRPr="00797282">
              <w:t>200 846,0</w:t>
            </w:r>
          </w:p>
        </w:tc>
      </w:tr>
      <w:tr w:rsidR="00B4541C" w:rsidRPr="00B34FAA" w14:paraId="7AD5A1F3" w14:textId="77777777" w:rsidTr="00897C6B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14:paraId="00EBB2A2" w14:textId="77777777" w:rsidR="00B4541C" w:rsidRPr="00B34FAA" w:rsidRDefault="00B4541C" w:rsidP="00B4541C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ღია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ბაზრის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461" w:type="pct"/>
            <w:hideMark/>
          </w:tcPr>
          <w:p w14:paraId="6D308E72" w14:textId="77777777" w:rsidR="00B4541C" w:rsidRPr="00797282" w:rsidRDefault="00B4541C" w:rsidP="00B4541C">
            <w:pPr>
              <w:jc w:val="right"/>
            </w:pPr>
            <w:r w:rsidRPr="00797282">
              <w:t>182 000,0</w:t>
            </w:r>
          </w:p>
        </w:tc>
      </w:tr>
      <w:tr w:rsidR="00B4541C" w:rsidRPr="00B34FAA" w14:paraId="32912EA3" w14:textId="77777777" w:rsidTr="00897C6B">
        <w:trPr>
          <w:trHeight w:val="288"/>
          <w:jc w:val="center"/>
        </w:trPr>
        <w:tc>
          <w:tcPr>
            <w:tcW w:w="3539" w:type="pct"/>
            <w:vAlign w:val="center"/>
          </w:tcPr>
          <w:p w14:paraId="70B2DA4A" w14:textId="77777777" w:rsidR="00B4541C" w:rsidRPr="00B34FAA" w:rsidRDefault="00B4541C" w:rsidP="00B4541C">
            <w:pPr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 ორგანიზაციების სესხის სახით არსებულ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ი ვალის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ნაშ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თი</w:t>
            </w:r>
          </w:p>
        </w:tc>
        <w:tc>
          <w:tcPr>
            <w:tcW w:w="1461" w:type="pct"/>
          </w:tcPr>
          <w:p w14:paraId="186D4232" w14:textId="77777777" w:rsidR="00B4541C" w:rsidRPr="00B4541C" w:rsidRDefault="00B4541C" w:rsidP="00B4541C">
            <w:pPr>
              <w:jc w:val="right"/>
              <w:rPr>
                <w:b/>
              </w:rPr>
            </w:pPr>
            <w:r w:rsidRPr="00B4541C">
              <w:rPr>
                <w:b/>
              </w:rPr>
              <w:t>4 405,7</w:t>
            </w:r>
          </w:p>
        </w:tc>
      </w:tr>
    </w:tbl>
    <w:p w14:paraId="06B6FF15" w14:textId="77777777" w:rsidR="00396821" w:rsidRPr="00C367E2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14:paraId="6933BDE9" w14:textId="77777777"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0109925A" w14:textId="77777777" w:rsidR="00396821" w:rsidRPr="004464CC" w:rsidRDefault="00B4541C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2020</w:t>
      </w:r>
      <w:r w:rsidR="00396821" w:rsidRPr="004464CC">
        <w:rPr>
          <w:rFonts w:ascii="Sylfaen" w:hAnsi="Sylfaen" w:cs="Sylfaen"/>
          <w:lang w:val="ka-GE"/>
        </w:rPr>
        <w:t xml:space="preserve"> წლის </w:t>
      </w:r>
      <w:r w:rsidR="00396821">
        <w:rPr>
          <w:rFonts w:ascii="Sylfaen" w:hAnsi="Sylfaen" w:cs="Sylfaen"/>
          <w:szCs w:val="18"/>
          <w:shd w:val="clear" w:color="auto" w:fill="FFFFFF"/>
          <w:lang w:val="ka-GE"/>
        </w:rPr>
        <w:t>31</w:t>
      </w:r>
      <w:r w:rsidR="00396821" w:rsidRPr="00581B0F">
        <w:rPr>
          <w:rFonts w:ascii="Sylfaen" w:hAnsi="Sylfaen" w:cs="Sylfaen"/>
          <w:szCs w:val="18"/>
          <w:shd w:val="clear" w:color="auto" w:fill="FFFFFF"/>
        </w:rPr>
        <w:t xml:space="preserve"> </w:t>
      </w:r>
      <w:r>
        <w:rPr>
          <w:rFonts w:ascii="Sylfaen" w:hAnsi="Sylfaen" w:cs="Sylfaen"/>
          <w:szCs w:val="18"/>
          <w:shd w:val="clear" w:color="auto" w:fill="FFFFFF"/>
          <w:lang w:val="ka-GE"/>
        </w:rPr>
        <w:t>მარტის</w:t>
      </w:r>
      <w:r w:rsidR="00396821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396821" w:rsidRPr="004464CC">
        <w:rPr>
          <w:rFonts w:ascii="Sylfaen" w:hAnsi="Sylfaen" w:cs="Sylfaen"/>
          <w:lang w:val="ka-GE"/>
        </w:rPr>
        <w:t xml:space="preserve">მდგომარეობით, 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Pr="00B4541C">
        <w:rPr>
          <w:rFonts w:ascii="Sylfaen" w:hAnsi="Sylfaen" w:cs="Sylfaen"/>
          <w:lang w:val="ka-GE"/>
        </w:rPr>
        <w:t>725</w:t>
      </w:r>
      <w:r>
        <w:rPr>
          <w:rFonts w:ascii="Sylfaen" w:hAnsi="Sylfaen" w:cs="Sylfaen"/>
          <w:lang w:val="ka-GE"/>
        </w:rPr>
        <w:t>,</w:t>
      </w:r>
      <w:r w:rsidRPr="00B4541C">
        <w:rPr>
          <w:rFonts w:ascii="Sylfaen" w:hAnsi="Sylfaen" w:cs="Sylfaen"/>
          <w:lang w:val="ka-GE"/>
        </w:rPr>
        <w:t>899</w:t>
      </w:r>
      <w:r>
        <w:rPr>
          <w:rFonts w:ascii="Sylfaen" w:hAnsi="Sylfaen" w:cs="Sylfaen"/>
          <w:lang w:val="ka-GE"/>
        </w:rPr>
        <w:t xml:space="preserve">.8 </w:t>
      </w:r>
      <w:r w:rsidR="00396821" w:rsidRPr="004464CC">
        <w:rPr>
          <w:rFonts w:ascii="Sylfaen" w:hAnsi="Sylfaen" w:cs="Sylfaen"/>
          <w:lang w:val="ka-GE"/>
        </w:rPr>
        <w:t>ათასი ლარი, ძირითადი თანხის დაფარვამ კი</w:t>
      </w:r>
      <w:r w:rsidR="00396821" w:rsidRPr="004464CC">
        <w:rPr>
          <w:rFonts w:ascii="Sylfaen" w:hAnsi="Sylfaen" w:cs="Sylfaen"/>
        </w:rPr>
        <w:t xml:space="preserve"> </w:t>
      </w:r>
      <w:r w:rsidRPr="00B4541C">
        <w:rPr>
          <w:rFonts w:ascii="Sylfaen" w:hAnsi="Sylfaen" w:cs="Sylfaen"/>
          <w:lang w:val="ka-GE"/>
        </w:rPr>
        <w:t>367</w:t>
      </w:r>
      <w:r>
        <w:rPr>
          <w:rFonts w:ascii="Sylfaen" w:hAnsi="Sylfaen" w:cs="Sylfaen"/>
          <w:lang w:val="ka-GE"/>
        </w:rPr>
        <w:t>,</w:t>
      </w:r>
      <w:r w:rsidRPr="00B4541C">
        <w:rPr>
          <w:rFonts w:ascii="Sylfaen" w:hAnsi="Sylfaen" w:cs="Sylfaen"/>
          <w:lang w:val="ka-GE"/>
        </w:rPr>
        <w:t>743</w:t>
      </w:r>
      <w:r>
        <w:rPr>
          <w:rFonts w:ascii="Sylfaen" w:hAnsi="Sylfaen" w:cs="Sylfaen"/>
          <w:lang w:val="ka-GE"/>
        </w:rPr>
        <w:t xml:space="preserve">.7 </w:t>
      </w:r>
      <w:r w:rsidR="00396821" w:rsidRPr="004464CC">
        <w:rPr>
          <w:rFonts w:ascii="Sylfaen" w:hAnsi="Sylfaen" w:cs="Sylfaen"/>
          <w:lang w:val="ka-GE"/>
        </w:rPr>
        <w:t>ათასი ლარი. შესაბამისად</w:t>
      </w:r>
      <w:r w:rsidR="00396821" w:rsidRPr="004464CC">
        <w:rPr>
          <w:rFonts w:ascii="Sylfaen" w:hAnsi="Sylfaen" w:cs="Sylfaen"/>
        </w:rPr>
        <w:t>,</w:t>
      </w:r>
      <w:r w:rsidR="00396821" w:rsidRPr="004464CC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</w:t>
      </w:r>
      <w:r w:rsidR="00396821">
        <w:rPr>
          <w:rFonts w:ascii="Sylfaen" w:hAnsi="Sylfaen" w:cs="Sylfaen"/>
          <w:szCs w:val="21"/>
          <w:shd w:val="clear" w:color="auto" w:fill="FFFFFF"/>
          <w:lang w:val="ka-GE"/>
        </w:rPr>
        <w:t>ზრდა</w:t>
      </w:r>
      <w:r w:rsidR="00396821" w:rsidRPr="004464CC">
        <w:rPr>
          <w:rFonts w:ascii="Sylfaen" w:hAnsi="Sylfaen" w:cs="Sylfaen"/>
          <w:lang w:val="ka-GE"/>
        </w:rPr>
        <w:t xml:space="preserve"> </w:t>
      </w:r>
      <w:r w:rsidRPr="00B4541C">
        <w:rPr>
          <w:rFonts w:ascii="Sylfaen" w:hAnsi="Sylfaen" w:cs="Sylfaen"/>
          <w:lang w:val="ka-GE"/>
        </w:rPr>
        <w:t>358</w:t>
      </w:r>
      <w:r>
        <w:rPr>
          <w:rFonts w:ascii="Sylfaen" w:hAnsi="Sylfaen" w:cs="Sylfaen"/>
          <w:lang w:val="ka-GE"/>
        </w:rPr>
        <w:t>,</w:t>
      </w:r>
      <w:r w:rsidRPr="00B4541C">
        <w:rPr>
          <w:rFonts w:ascii="Sylfaen" w:hAnsi="Sylfaen" w:cs="Sylfaen"/>
          <w:lang w:val="ka-GE"/>
        </w:rPr>
        <w:t>156</w:t>
      </w:r>
      <w:r>
        <w:rPr>
          <w:rFonts w:ascii="Sylfaen" w:hAnsi="Sylfaen" w:cs="Sylfaen"/>
          <w:lang w:val="ka-GE"/>
        </w:rPr>
        <w:t>.</w:t>
      </w:r>
      <w:r w:rsidRPr="00B4541C">
        <w:rPr>
          <w:rFonts w:ascii="Sylfaen" w:hAnsi="Sylfaen" w:cs="Sylfaen"/>
          <w:lang w:val="ka-GE"/>
        </w:rPr>
        <w:t>1</w:t>
      </w:r>
      <w:r>
        <w:rPr>
          <w:rFonts w:ascii="Sylfaen" w:hAnsi="Sylfaen" w:cs="Sylfaen"/>
          <w:lang w:val="ka-GE"/>
        </w:rPr>
        <w:t xml:space="preserve"> </w:t>
      </w:r>
      <w:r w:rsidR="00396821" w:rsidRPr="004464CC">
        <w:rPr>
          <w:rFonts w:ascii="Sylfaen" w:hAnsi="Sylfaen" w:cs="Sylfaen"/>
          <w:lang w:val="ka-GE"/>
        </w:rPr>
        <w:t>ათასი ლარით განისაზღვრა.</w:t>
      </w:r>
    </w:p>
    <w:p w14:paraId="67404017" w14:textId="77777777"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4464CC">
        <w:rPr>
          <w:rFonts w:ascii="Sylfaen" w:hAnsi="Sylfaen" w:cs="Sylfaen"/>
          <w:lang w:val="ka-GE"/>
        </w:rPr>
        <w:t>საანგარიშო პერიოდში გან</w:t>
      </w:r>
      <w:bookmarkStart w:id="0" w:name="_GoBack"/>
      <w:bookmarkEnd w:id="0"/>
      <w:r w:rsidRPr="004464CC">
        <w:rPr>
          <w:rFonts w:ascii="Sylfaen" w:hAnsi="Sylfaen" w:cs="Sylfaen"/>
          <w:lang w:val="ka-GE"/>
        </w:rPr>
        <w:t>ხორციელდა ობლიგაციები</w:t>
      </w:r>
      <w:r>
        <w:rPr>
          <w:rFonts w:ascii="Sylfaen" w:hAnsi="Sylfaen" w:cs="Sylfaen"/>
          <w:lang w:val="ka-GE"/>
        </w:rPr>
        <w:t xml:space="preserve"> ღია ბაზრის ოპერაციებისთვის</w:t>
      </w:r>
      <w:r w:rsidRPr="004464CC">
        <w:rPr>
          <w:rFonts w:ascii="Sylfaen" w:hAnsi="Sylfaen" w:cs="Sylfaen"/>
          <w:lang w:val="ka-GE"/>
        </w:rPr>
        <w:t xml:space="preserve"> ძირითადი თანხის დაფარვა (სებ-ის მიმართ ვალი) </w:t>
      </w:r>
      <w:r w:rsidR="00B4541C">
        <w:rPr>
          <w:rFonts w:ascii="Sylfaen" w:hAnsi="Sylfaen" w:cs="Sylfaen"/>
          <w:lang w:val="ka-GE"/>
        </w:rPr>
        <w:t>10,</w:t>
      </w:r>
      <w:r w:rsidRPr="00FB7087">
        <w:rPr>
          <w:rFonts w:ascii="Sylfaen" w:hAnsi="Sylfaen" w:cs="Sylfaen"/>
          <w:lang w:val="ka-GE"/>
        </w:rPr>
        <w:t>000.0 ათასი</w:t>
      </w:r>
      <w:r w:rsidRPr="004464CC">
        <w:rPr>
          <w:rFonts w:ascii="Sylfaen" w:hAnsi="Sylfaen" w:cs="Sylfaen"/>
          <w:lang w:val="ka-GE"/>
        </w:rPr>
        <w:t xml:space="preserve"> ლარის ოდენობით, საქართველოს მთავრობის და საქართველოს ეროვნული ბანკის 2006 წლის 15 მაისის „საქართველოს მთავრობის საქართველოს ეროვნული ბანკისადმი დავალიანების დაფარვის ღონისძიებების შესახებ“</w:t>
      </w:r>
      <w:r w:rsidRPr="009531BC">
        <w:rPr>
          <w:rFonts w:ascii="Sylfaen" w:hAnsi="Sylfaen" w:cs="Sylfaen"/>
          <w:lang w:val="ka-GE"/>
        </w:rPr>
        <w:t xml:space="preserve"> 2006 წლის 20 მარტის შეთანხმებაში ცვლილებების შეტანის თაობაზე“ შეთანხმების შესაბამისად. </w:t>
      </w:r>
    </w:p>
    <w:p w14:paraId="26E79171" w14:textId="77777777"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1CC36E40" w14:textId="77777777" w:rsidR="00F26066" w:rsidRPr="003430DD" w:rsidRDefault="00F26066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3430DD">
        <w:rPr>
          <w:rFonts w:ascii="Sylfaen" w:hAnsi="Sylfaen" w:cs="Sylfaen"/>
          <w:lang w:val="ka-GE"/>
        </w:rPr>
        <w:tab/>
      </w:r>
    </w:p>
    <w:p w14:paraId="10694AB2" w14:textId="77777777" w:rsidR="00F6697A" w:rsidRPr="003430DD" w:rsidRDefault="0075480C" w:rsidP="00DB657D">
      <w:pPr>
        <w:jc w:val="center"/>
        <w:rPr>
          <w:rFonts w:ascii="Sylfaen" w:hAnsi="Sylfaen"/>
          <w:b/>
        </w:rPr>
      </w:pPr>
      <w:r w:rsidRPr="003430DD">
        <w:rPr>
          <w:rFonts w:ascii="Sylfaen" w:hAnsi="Sylfaen"/>
          <w:b/>
          <w:lang w:val="ka-GE"/>
        </w:rPr>
        <w:t>მთავრობის</w:t>
      </w:r>
      <w:r w:rsidR="000340AB" w:rsidRPr="003430DD">
        <w:rPr>
          <w:rFonts w:ascii="Sylfaen" w:hAnsi="Sylfaen"/>
          <w:b/>
          <w:lang w:val="ka-GE"/>
        </w:rPr>
        <w:t xml:space="preserve"> ვალის </w:t>
      </w:r>
      <w:r w:rsidR="0032795B" w:rsidRPr="003430DD">
        <w:rPr>
          <w:rFonts w:ascii="Sylfaen" w:hAnsi="Sylfaen"/>
          <w:b/>
          <w:lang w:val="ka-GE"/>
        </w:rPr>
        <w:t xml:space="preserve">ნაშთი </w:t>
      </w:r>
      <w:r w:rsidR="00B4541C" w:rsidRPr="003430DD">
        <w:rPr>
          <w:rFonts w:ascii="Sylfaen" w:hAnsi="Sylfaen"/>
          <w:b/>
          <w:lang w:val="ka-GE"/>
        </w:rPr>
        <w:t>2020</w:t>
      </w:r>
      <w:r w:rsidR="001A397F" w:rsidRPr="003430DD">
        <w:rPr>
          <w:rFonts w:ascii="Sylfaen" w:hAnsi="Sylfaen"/>
          <w:b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 xml:space="preserve">წლის </w:t>
      </w:r>
      <w:r w:rsidR="00FA187E" w:rsidRPr="003430DD">
        <w:rPr>
          <w:rFonts w:ascii="Sylfaen" w:hAnsi="Sylfaen"/>
          <w:b/>
          <w:lang w:val="ka-GE"/>
        </w:rPr>
        <w:t>3</w:t>
      </w:r>
      <w:r w:rsidR="00A8306F" w:rsidRPr="003430DD">
        <w:rPr>
          <w:rFonts w:ascii="Sylfaen" w:hAnsi="Sylfaen"/>
          <w:b/>
          <w:lang w:val="ka-GE"/>
        </w:rPr>
        <w:t>1</w:t>
      </w:r>
      <w:r w:rsidR="00FA187E" w:rsidRPr="003430DD">
        <w:rPr>
          <w:rFonts w:ascii="Sylfaen" w:hAnsi="Sylfaen"/>
          <w:b/>
          <w:lang w:val="ka-GE"/>
        </w:rPr>
        <w:t xml:space="preserve"> </w:t>
      </w:r>
      <w:r w:rsidR="001E6B6E" w:rsidRPr="003430DD">
        <w:rPr>
          <w:rFonts w:ascii="Sylfaen" w:hAnsi="Sylfaen"/>
          <w:b/>
          <w:lang w:val="ka-GE"/>
        </w:rPr>
        <w:t>მარტის</w:t>
      </w:r>
      <w:r w:rsidR="00861F1F" w:rsidRPr="003430DD">
        <w:rPr>
          <w:rFonts w:ascii="Sylfaen" w:hAnsi="Sylfaen"/>
          <w:b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>მდგომარეობით</w:t>
      </w:r>
    </w:p>
    <w:p w14:paraId="249CB460" w14:textId="77777777" w:rsidR="00FB7087" w:rsidRPr="00AD59D0" w:rsidRDefault="00AD59D0" w:rsidP="00355D2E">
      <w:pPr>
        <w:spacing w:after="0" w:line="240" w:lineRule="auto"/>
        <w:jc w:val="right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AD59D0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4150CD" w:rsidRPr="00AD59D0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55"/>
        <w:gridCol w:w="2085"/>
      </w:tblGrid>
      <w:tr w:rsidR="003430DD" w:rsidRPr="003430DD" w14:paraId="151B4EF5" w14:textId="77777777" w:rsidTr="001D18C1">
        <w:trPr>
          <w:trHeight w:val="840"/>
          <w:tblHeader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CE0A0" w14:textId="75CB460C" w:rsidR="003430DD" w:rsidRPr="003430DD" w:rsidRDefault="00B04141" w:rsidP="003430D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Sylfaen" w:hAnsi="Sylfaen"/>
                <w:b/>
                <w:bCs/>
                <w:i/>
                <w:color w:val="7F7F7F" w:themeColor="text1" w:themeTint="80"/>
                <w:sz w:val="18"/>
                <w:szCs w:val="18"/>
              </w:rPr>
              <w:t xml:space="preserve">  </w:t>
            </w:r>
            <w:bookmarkStart w:id="1" w:name="RANGE!C3:D44"/>
            <w:r w:rsidR="003430DD"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კრედიტორი </w:t>
            </w:r>
            <w:bookmarkEnd w:id="1"/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23BC2" w14:textId="77777777" w:rsidR="003430DD" w:rsidRPr="003430DD" w:rsidRDefault="003430DD" w:rsidP="0034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31.03.2020</w:t>
            </w: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3430DD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მდგომარეობით</w:t>
            </w: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430DD" w:rsidRPr="003430DD" w14:paraId="0EA09ABB" w14:textId="77777777" w:rsidTr="00894563">
        <w:trPr>
          <w:trHeight w:val="57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53B0B96F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მთავრობის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3DC6CC83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17 876 209,8</w:t>
            </w:r>
          </w:p>
        </w:tc>
      </w:tr>
      <w:tr w:rsidR="003430DD" w:rsidRPr="003430DD" w14:paraId="1E65E9AC" w14:textId="77777777" w:rsidTr="00894563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425CA2F1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76E3DB6D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12 779 704,2</w:t>
            </w:r>
          </w:p>
        </w:tc>
      </w:tr>
      <w:tr w:rsidR="003430DD" w:rsidRPr="003430DD" w14:paraId="104238C9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235BD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მსოფლიო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946DBA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6 032 604,3</w:t>
            </w:r>
          </w:p>
        </w:tc>
      </w:tr>
      <w:tr w:rsidR="003430DD" w:rsidRPr="003430DD" w14:paraId="6872BA4D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9440B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სოფლის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მეურნეობის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044FB5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111 884,7</w:t>
            </w:r>
          </w:p>
        </w:tc>
      </w:tr>
      <w:tr w:rsidR="003430DD" w:rsidRPr="003430DD" w14:paraId="3416AFAD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21D3A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სავალუტო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07FA36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430DD" w:rsidRPr="003430DD" w14:paraId="520EBF5B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E5351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რეკონსტრუქციისა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AF3199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412 689,7</w:t>
            </w:r>
          </w:p>
        </w:tc>
      </w:tr>
      <w:tr w:rsidR="003430DD" w:rsidRPr="003430DD" w14:paraId="1B3E05E6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FDACE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09D506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4 137 277,3</w:t>
            </w:r>
          </w:p>
        </w:tc>
      </w:tr>
      <w:tr w:rsidR="003430DD" w:rsidRPr="003430DD" w14:paraId="31655F4C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4FD4E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266E61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1 843 486,9</w:t>
            </w:r>
          </w:p>
        </w:tc>
      </w:tr>
      <w:tr w:rsidR="003430DD" w:rsidRPr="003430DD" w14:paraId="67F999D1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5BB35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ევროკავშირი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EB9681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138 179,4</w:t>
            </w:r>
          </w:p>
        </w:tc>
      </w:tr>
      <w:tr w:rsidR="003430DD" w:rsidRPr="003430DD" w14:paraId="76374817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EE7A6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ინფრასტრუქტურის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59CDC2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97 675,3</w:t>
            </w:r>
          </w:p>
        </w:tc>
      </w:tr>
      <w:tr w:rsidR="003430DD" w:rsidRPr="003430DD" w14:paraId="33EA4F1B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59889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ევროსაბჭოს განვითარების ბანკი (CEB)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49951D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3 278,2</w:t>
            </w:r>
          </w:p>
        </w:tc>
      </w:tr>
      <w:tr w:rsidR="003430DD" w:rsidRPr="003430DD" w14:paraId="670600EA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982EB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504F7C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2 628,4</w:t>
            </w:r>
          </w:p>
        </w:tc>
      </w:tr>
      <w:tr w:rsidR="003430DD" w:rsidRPr="003430DD" w14:paraId="1BCC3D8C" w14:textId="77777777" w:rsidTr="00894563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4569039C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ორმხრივი</w:t>
            </w: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68BC5315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3 448 798,8</w:t>
            </w:r>
          </w:p>
        </w:tc>
      </w:tr>
      <w:tr w:rsidR="003430DD" w:rsidRPr="003430DD" w14:paraId="2BF03A66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1F370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ავსტრია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C4BF6B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61 015,2</w:t>
            </w:r>
          </w:p>
        </w:tc>
      </w:tr>
      <w:tr w:rsidR="003430DD" w:rsidRPr="003430DD" w14:paraId="73537989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D1C51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აზერბაიჯანი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343148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20 661,4</w:t>
            </w:r>
          </w:p>
        </w:tc>
      </w:tr>
      <w:tr w:rsidR="003430DD" w:rsidRPr="003430DD" w14:paraId="553E5FB2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A6990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თურქმენეთი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60AF9F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693,3</w:t>
            </w:r>
          </w:p>
        </w:tc>
      </w:tr>
      <w:tr w:rsidR="003430DD" w:rsidRPr="003430DD" w14:paraId="7280D2C1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A0FF2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თურქეთი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72A06A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39 760,1</w:t>
            </w:r>
          </w:p>
        </w:tc>
      </w:tr>
      <w:tr w:rsidR="003430DD" w:rsidRPr="003430DD" w14:paraId="620FB720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2248F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ირანი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E151E5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15 751,7</w:t>
            </w:r>
          </w:p>
        </w:tc>
      </w:tr>
      <w:tr w:rsidR="003430DD" w:rsidRPr="003430DD" w14:paraId="768F77E7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126E9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რუსეთი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6E7BC8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159 511,2</w:t>
            </w:r>
          </w:p>
        </w:tc>
      </w:tr>
      <w:tr w:rsidR="003430DD" w:rsidRPr="003430DD" w14:paraId="4DB0A0F1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7C75C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სომხეთი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A80ABC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22 240,7</w:t>
            </w:r>
          </w:p>
        </w:tc>
      </w:tr>
      <w:tr w:rsidR="003430DD" w:rsidRPr="003430DD" w14:paraId="5A36C8D1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B24CE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უზბეკეთი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5FB1DB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323,1</w:t>
            </w:r>
          </w:p>
        </w:tc>
      </w:tr>
      <w:tr w:rsidR="003430DD" w:rsidRPr="003430DD" w14:paraId="6116D4D6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2E4DA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უკრაინა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D23A64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3430DD" w:rsidRPr="003430DD" w14:paraId="5E30A35F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003A7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ყაზახეთი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C8FA21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40 161,4</w:t>
            </w:r>
          </w:p>
        </w:tc>
      </w:tr>
      <w:tr w:rsidR="003430DD" w:rsidRPr="003430DD" w14:paraId="22391FBF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8561F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ჩინეთი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0C983C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4 164,6</w:t>
            </w:r>
          </w:p>
        </w:tc>
      </w:tr>
      <w:tr w:rsidR="003430DD" w:rsidRPr="003430DD" w14:paraId="3E7F1129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3B63C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F2D916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1 228 171,5</w:t>
            </w:r>
          </w:p>
        </w:tc>
      </w:tr>
      <w:tr w:rsidR="003430DD" w:rsidRPr="003430DD" w14:paraId="5302E62F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22883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იაპონია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990287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700 569,8</w:t>
            </w:r>
          </w:p>
        </w:tc>
      </w:tr>
      <w:tr w:rsidR="003430DD" w:rsidRPr="003430DD" w14:paraId="44D74513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57D8E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კუვეიტი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EE7A51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27 810,5</w:t>
            </w:r>
          </w:p>
        </w:tc>
      </w:tr>
      <w:tr w:rsidR="003430DD" w:rsidRPr="003430DD" w14:paraId="28D04C5B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1C6F7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ნიდერლანდები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BABC23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1 900,1</w:t>
            </w:r>
          </w:p>
        </w:tc>
      </w:tr>
      <w:tr w:rsidR="003430DD" w:rsidRPr="003430DD" w14:paraId="508EF0E1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DF707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ამერიკა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CABBAE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57 467,8</w:t>
            </w:r>
          </w:p>
        </w:tc>
      </w:tr>
      <w:tr w:rsidR="003430DD" w:rsidRPr="003430DD" w14:paraId="1477C83A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BCC72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საფრანგეთი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9EE9B0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1 068 301,5</w:t>
            </w:r>
          </w:p>
        </w:tc>
      </w:tr>
      <w:tr w:rsidR="003430DD" w:rsidRPr="003430DD" w14:paraId="73DAC074" w14:textId="77777777" w:rsidTr="00894563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524910E4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სხვა</w:t>
            </w: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</w:t>
            </w: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5819E107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1 642 250,0</w:t>
            </w:r>
          </w:p>
        </w:tc>
      </w:tr>
      <w:tr w:rsidR="003430DD" w:rsidRPr="003430DD" w14:paraId="2A8C4AEE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60619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ევრობონდები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F4AC8C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1 642 250,0</w:t>
            </w:r>
          </w:p>
        </w:tc>
      </w:tr>
      <w:tr w:rsidR="003430DD" w:rsidRPr="003430DD" w14:paraId="338B877C" w14:textId="77777777" w:rsidTr="00894563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63235EA8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გარანტიით</w:t>
            </w: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აღებული</w:t>
            </w: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5EF336D6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5 456,8</w:t>
            </w:r>
          </w:p>
        </w:tc>
      </w:tr>
      <w:tr w:rsidR="003430DD" w:rsidRPr="003430DD" w14:paraId="60D98DD5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96E6D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6DFEEC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5 456,8</w:t>
            </w:r>
          </w:p>
        </w:tc>
      </w:tr>
      <w:tr w:rsidR="003430DD" w:rsidRPr="003430DD" w14:paraId="54608378" w14:textId="77777777" w:rsidTr="00894563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15230603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მთავრობის საშინაო</w:t>
            </w: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7BAA6E90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4 511 787,0</w:t>
            </w:r>
          </w:p>
        </w:tc>
      </w:tr>
      <w:tr w:rsidR="003430DD" w:rsidRPr="003430DD" w14:paraId="7B540701" w14:textId="77777777" w:rsidTr="00894563">
        <w:trPr>
          <w:trHeight w:val="6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087DC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ეროვნული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ბანკისთვის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განკუთვნილი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ერთწლიანი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ყოველწლიურად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განახლებადი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88C0AA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200 846,0</w:t>
            </w:r>
          </w:p>
        </w:tc>
      </w:tr>
      <w:tr w:rsidR="003430DD" w:rsidRPr="003430DD" w14:paraId="172D4345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DBBFB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სხვადასხვა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ვადის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ღია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ბაზრის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ოპერაციებისთვის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416785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182 000,0</w:t>
            </w:r>
          </w:p>
        </w:tc>
      </w:tr>
      <w:tr w:rsidR="003430DD" w:rsidRPr="003430DD" w14:paraId="45A2AAC2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A5B8C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16ED83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834 898,9</w:t>
            </w:r>
          </w:p>
        </w:tc>
      </w:tr>
      <w:tr w:rsidR="003430DD" w:rsidRPr="003430DD" w14:paraId="7A15D80F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DAB2C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r w:rsidRPr="00343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1C7087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3 289 636,4</w:t>
            </w:r>
          </w:p>
        </w:tc>
      </w:tr>
      <w:tr w:rsidR="003430DD" w:rsidRPr="003430DD" w14:paraId="650697A9" w14:textId="77777777" w:rsidTr="0089456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EC2AB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საბიუჯეტო ორგანიზაციების სესხის სახით არსებულ ვალი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4EE07A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4 405,7</w:t>
            </w:r>
          </w:p>
        </w:tc>
      </w:tr>
      <w:tr w:rsidR="003430DD" w:rsidRPr="003430DD" w14:paraId="4B56B898" w14:textId="77777777" w:rsidTr="00894563">
        <w:trPr>
          <w:trHeight w:val="57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48F52B73" w14:textId="77777777" w:rsidR="003430DD" w:rsidRPr="003430DD" w:rsidRDefault="003430DD" w:rsidP="003430D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</w:t>
            </w: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მთავრობის</w:t>
            </w: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r w:rsidRPr="00343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30D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0090BAB1" w14:textId="77777777" w:rsidR="003430DD" w:rsidRPr="003430DD" w:rsidRDefault="003430DD" w:rsidP="00343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30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22 387 996,8</w:t>
            </w:r>
          </w:p>
        </w:tc>
      </w:tr>
    </w:tbl>
    <w:p w14:paraId="58F48412" w14:textId="77777777" w:rsidR="0053506B" w:rsidRPr="003430DD" w:rsidRDefault="0053506B" w:rsidP="00D62E87">
      <w:pPr>
        <w:spacing w:after="0" w:line="240" w:lineRule="auto"/>
        <w:jc w:val="center"/>
        <w:rPr>
          <w:rFonts w:ascii="Sylfaen" w:hAnsi="Sylfaen" w:cs="Sylfaen"/>
          <w:color w:val="FF0000"/>
          <w:sz w:val="18"/>
        </w:rPr>
      </w:pPr>
    </w:p>
    <w:p w14:paraId="377B9E93" w14:textId="77777777" w:rsidR="000340AB" w:rsidRPr="00AD6A17" w:rsidRDefault="000340AB" w:rsidP="00D62E87">
      <w:pPr>
        <w:spacing w:after="0" w:line="240" w:lineRule="auto"/>
        <w:rPr>
          <w:rFonts w:ascii="Sylfaen" w:hAnsi="Sylfaen" w:cs="Sylfaen"/>
          <w:i/>
          <w:sz w:val="16"/>
          <w:szCs w:val="16"/>
        </w:rPr>
      </w:pPr>
      <w:r w:rsidRPr="003430DD">
        <w:rPr>
          <w:rFonts w:ascii="Sylfaen" w:hAnsi="Sylfaen" w:cs="Sylfaen"/>
          <w:i/>
          <w:sz w:val="16"/>
          <w:szCs w:val="16"/>
        </w:rPr>
        <w:t>შენიშვნა</w:t>
      </w:r>
      <w:r w:rsidRPr="003430DD">
        <w:rPr>
          <w:i/>
          <w:sz w:val="16"/>
          <w:szCs w:val="16"/>
        </w:rPr>
        <w:t xml:space="preserve">: </w:t>
      </w:r>
      <w:r w:rsidRPr="003430DD">
        <w:rPr>
          <w:rFonts w:ascii="Sylfaen" w:hAnsi="Sylfaen" w:cs="Sylfaen"/>
          <w:i/>
          <w:sz w:val="16"/>
          <w:szCs w:val="16"/>
        </w:rPr>
        <w:t>ცხრილში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გამოყენებულია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სავალუტო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კურსები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მოცემული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თარიღისათვის</w:t>
      </w:r>
    </w:p>
    <w:sectPr w:rsidR="000340AB" w:rsidRPr="00AD6A17" w:rsidSect="0087661E">
      <w:pgSz w:w="11907" w:h="16839" w:code="9"/>
      <w:pgMar w:top="426" w:right="837" w:bottom="709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35F39" w14:textId="77777777" w:rsidR="009B2F22" w:rsidRDefault="009B2F22" w:rsidP="00400BED">
      <w:pPr>
        <w:spacing w:after="0" w:line="240" w:lineRule="auto"/>
      </w:pPr>
      <w:r>
        <w:separator/>
      </w:r>
    </w:p>
  </w:endnote>
  <w:endnote w:type="continuationSeparator" w:id="0">
    <w:p w14:paraId="6688F280" w14:textId="77777777" w:rsidR="009B2F22" w:rsidRDefault="009B2F22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Calibri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54E2C" w14:textId="77777777" w:rsidR="009B2F22" w:rsidRDefault="009B2F22" w:rsidP="00400BED">
      <w:pPr>
        <w:spacing w:after="0" w:line="240" w:lineRule="auto"/>
      </w:pPr>
      <w:r>
        <w:separator/>
      </w:r>
    </w:p>
  </w:footnote>
  <w:footnote w:type="continuationSeparator" w:id="0">
    <w:p w14:paraId="4B28240C" w14:textId="77777777" w:rsidR="009B2F22" w:rsidRDefault="009B2F22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3D97"/>
    <w:rsid w:val="0001411B"/>
    <w:rsid w:val="00015303"/>
    <w:rsid w:val="000156E3"/>
    <w:rsid w:val="000162A1"/>
    <w:rsid w:val="00017DE3"/>
    <w:rsid w:val="00027288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55BB"/>
    <w:rsid w:val="000F5720"/>
    <w:rsid w:val="000F7FD3"/>
    <w:rsid w:val="00102D0F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1ECC"/>
    <w:rsid w:val="00182832"/>
    <w:rsid w:val="0018456A"/>
    <w:rsid w:val="00187C1C"/>
    <w:rsid w:val="00190A72"/>
    <w:rsid w:val="00193364"/>
    <w:rsid w:val="00193C76"/>
    <w:rsid w:val="00197E9D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18C1"/>
    <w:rsid w:val="001D5195"/>
    <w:rsid w:val="001D5ADC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4105B"/>
    <w:rsid w:val="0024488E"/>
    <w:rsid w:val="00247C11"/>
    <w:rsid w:val="0025039F"/>
    <w:rsid w:val="00256FDD"/>
    <w:rsid w:val="00262BF3"/>
    <w:rsid w:val="00263EAD"/>
    <w:rsid w:val="00270120"/>
    <w:rsid w:val="00270C72"/>
    <w:rsid w:val="002758CB"/>
    <w:rsid w:val="0028042E"/>
    <w:rsid w:val="0028088E"/>
    <w:rsid w:val="00280FA2"/>
    <w:rsid w:val="00281A88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7782"/>
    <w:rsid w:val="002C784F"/>
    <w:rsid w:val="002D15C8"/>
    <w:rsid w:val="002D16E4"/>
    <w:rsid w:val="002D22B9"/>
    <w:rsid w:val="002D6813"/>
    <w:rsid w:val="002E3E75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66CD"/>
    <w:rsid w:val="00317C22"/>
    <w:rsid w:val="0032795B"/>
    <w:rsid w:val="003303AF"/>
    <w:rsid w:val="0033211A"/>
    <w:rsid w:val="00332B60"/>
    <w:rsid w:val="003351F0"/>
    <w:rsid w:val="003419E6"/>
    <w:rsid w:val="003425D6"/>
    <w:rsid w:val="003430DD"/>
    <w:rsid w:val="00347FB5"/>
    <w:rsid w:val="00352E0D"/>
    <w:rsid w:val="00355D2E"/>
    <w:rsid w:val="0035676A"/>
    <w:rsid w:val="00361883"/>
    <w:rsid w:val="00364196"/>
    <w:rsid w:val="0036419C"/>
    <w:rsid w:val="00372A1B"/>
    <w:rsid w:val="00375F6E"/>
    <w:rsid w:val="00377B9F"/>
    <w:rsid w:val="00382167"/>
    <w:rsid w:val="003838EC"/>
    <w:rsid w:val="00386EFD"/>
    <w:rsid w:val="00387352"/>
    <w:rsid w:val="0039166F"/>
    <w:rsid w:val="00395CE1"/>
    <w:rsid w:val="003967C1"/>
    <w:rsid w:val="00396821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5A3B"/>
    <w:rsid w:val="003D6E27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24BD"/>
    <w:rsid w:val="00434625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50D5"/>
    <w:rsid w:val="00485FD9"/>
    <w:rsid w:val="00490B44"/>
    <w:rsid w:val="00493136"/>
    <w:rsid w:val="00496409"/>
    <w:rsid w:val="004A3196"/>
    <w:rsid w:val="004A3DB0"/>
    <w:rsid w:val="004B1263"/>
    <w:rsid w:val="004B29BC"/>
    <w:rsid w:val="004B46E8"/>
    <w:rsid w:val="004C0704"/>
    <w:rsid w:val="004C59A6"/>
    <w:rsid w:val="004D17A6"/>
    <w:rsid w:val="004D26F9"/>
    <w:rsid w:val="004D7B47"/>
    <w:rsid w:val="004E2497"/>
    <w:rsid w:val="004E3AB1"/>
    <w:rsid w:val="004E422E"/>
    <w:rsid w:val="004F2321"/>
    <w:rsid w:val="004F5AB2"/>
    <w:rsid w:val="0050185A"/>
    <w:rsid w:val="00501E22"/>
    <w:rsid w:val="00510802"/>
    <w:rsid w:val="005131CE"/>
    <w:rsid w:val="00515451"/>
    <w:rsid w:val="005165EB"/>
    <w:rsid w:val="00523560"/>
    <w:rsid w:val="0053140C"/>
    <w:rsid w:val="0053399C"/>
    <w:rsid w:val="00534D33"/>
    <w:rsid w:val="0053506B"/>
    <w:rsid w:val="005370EC"/>
    <w:rsid w:val="0054275A"/>
    <w:rsid w:val="00543222"/>
    <w:rsid w:val="00544450"/>
    <w:rsid w:val="00547406"/>
    <w:rsid w:val="005532C7"/>
    <w:rsid w:val="0055381D"/>
    <w:rsid w:val="0055654D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70D9"/>
    <w:rsid w:val="00590695"/>
    <w:rsid w:val="00591512"/>
    <w:rsid w:val="00594033"/>
    <w:rsid w:val="00595CEE"/>
    <w:rsid w:val="00596075"/>
    <w:rsid w:val="005A44F5"/>
    <w:rsid w:val="005A5523"/>
    <w:rsid w:val="005B3C35"/>
    <w:rsid w:val="005B498D"/>
    <w:rsid w:val="005B505D"/>
    <w:rsid w:val="005B5D38"/>
    <w:rsid w:val="005C0056"/>
    <w:rsid w:val="005C212A"/>
    <w:rsid w:val="005C46D1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3921"/>
    <w:rsid w:val="006663B1"/>
    <w:rsid w:val="00667DDB"/>
    <w:rsid w:val="00673822"/>
    <w:rsid w:val="006776FE"/>
    <w:rsid w:val="0068034E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9693A"/>
    <w:rsid w:val="006A0EC7"/>
    <w:rsid w:val="006A1E01"/>
    <w:rsid w:val="006A3476"/>
    <w:rsid w:val="006A41DE"/>
    <w:rsid w:val="006A47A2"/>
    <w:rsid w:val="006A7D49"/>
    <w:rsid w:val="006B1B1E"/>
    <w:rsid w:val="006B398B"/>
    <w:rsid w:val="006B3FC1"/>
    <w:rsid w:val="006C2FB0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7314"/>
    <w:rsid w:val="007449DE"/>
    <w:rsid w:val="00746294"/>
    <w:rsid w:val="007464DB"/>
    <w:rsid w:val="00746651"/>
    <w:rsid w:val="0075480C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7BDC"/>
    <w:rsid w:val="007A0D67"/>
    <w:rsid w:val="007A32FD"/>
    <w:rsid w:val="007A4F50"/>
    <w:rsid w:val="007A5E4F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2C36"/>
    <w:rsid w:val="008153BB"/>
    <w:rsid w:val="00816066"/>
    <w:rsid w:val="00817C42"/>
    <w:rsid w:val="0082056D"/>
    <w:rsid w:val="00826C90"/>
    <w:rsid w:val="0083184C"/>
    <w:rsid w:val="008330FC"/>
    <w:rsid w:val="008337D5"/>
    <w:rsid w:val="00836A37"/>
    <w:rsid w:val="00840241"/>
    <w:rsid w:val="008405A5"/>
    <w:rsid w:val="008416A6"/>
    <w:rsid w:val="00844711"/>
    <w:rsid w:val="00844751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31CF"/>
    <w:rsid w:val="00894563"/>
    <w:rsid w:val="00895BDF"/>
    <w:rsid w:val="0089646B"/>
    <w:rsid w:val="00897C6B"/>
    <w:rsid w:val="008A1C29"/>
    <w:rsid w:val="008A296A"/>
    <w:rsid w:val="008A7DED"/>
    <w:rsid w:val="008B14CF"/>
    <w:rsid w:val="008B2C36"/>
    <w:rsid w:val="008B343B"/>
    <w:rsid w:val="008B589D"/>
    <w:rsid w:val="008B5C79"/>
    <w:rsid w:val="008B76C9"/>
    <w:rsid w:val="008C0A08"/>
    <w:rsid w:val="008C2A4C"/>
    <w:rsid w:val="008C387D"/>
    <w:rsid w:val="008C3F27"/>
    <w:rsid w:val="008C692E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39F2"/>
    <w:rsid w:val="00914D8C"/>
    <w:rsid w:val="0091662B"/>
    <w:rsid w:val="009274F9"/>
    <w:rsid w:val="00927EE7"/>
    <w:rsid w:val="009330E5"/>
    <w:rsid w:val="009335FA"/>
    <w:rsid w:val="00935F0A"/>
    <w:rsid w:val="009363B9"/>
    <w:rsid w:val="00941504"/>
    <w:rsid w:val="009453D8"/>
    <w:rsid w:val="009515B0"/>
    <w:rsid w:val="009531BC"/>
    <w:rsid w:val="0096271C"/>
    <w:rsid w:val="0096590B"/>
    <w:rsid w:val="009660A9"/>
    <w:rsid w:val="0096735A"/>
    <w:rsid w:val="009733B3"/>
    <w:rsid w:val="009734FB"/>
    <w:rsid w:val="00975967"/>
    <w:rsid w:val="0098115B"/>
    <w:rsid w:val="009816B7"/>
    <w:rsid w:val="00982850"/>
    <w:rsid w:val="00982E29"/>
    <w:rsid w:val="00986AAF"/>
    <w:rsid w:val="009917B8"/>
    <w:rsid w:val="00991B14"/>
    <w:rsid w:val="009925D7"/>
    <w:rsid w:val="00994CC0"/>
    <w:rsid w:val="00997661"/>
    <w:rsid w:val="009A1016"/>
    <w:rsid w:val="009A2872"/>
    <w:rsid w:val="009A7187"/>
    <w:rsid w:val="009A78B3"/>
    <w:rsid w:val="009A7CFF"/>
    <w:rsid w:val="009B1B48"/>
    <w:rsid w:val="009B2F22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77E"/>
    <w:rsid w:val="009F1D79"/>
    <w:rsid w:val="009F6AC0"/>
    <w:rsid w:val="009F7E90"/>
    <w:rsid w:val="00A04E5E"/>
    <w:rsid w:val="00A1081B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5EB8"/>
    <w:rsid w:val="00A50002"/>
    <w:rsid w:val="00A5293F"/>
    <w:rsid w:val="00A56E3B"/>
    <w:rsid w:val="00A57273"/>
    <w:rsid w:val="00A6278E"/>
    <w:rsid w:val="00A63967"/>
    <w:rsid w:val="00A67F51"/>
    <w:rsid w:val="00A74699"/>
    <w:rsid w:val="00A751B7"/>
    <w:rsid w:val="00A761DC"/>
    <w:rsid w:val="00A770D1"/>
    <w:rsid w:val="00A8306F"/>
    <w:rsid w:val="00A84FE6"/>
    <w:rsid w:val="00A854D8"/>
    <w:rsid w:val="00A85818"/>
    <w:rsid w:val="00A87F14"/>
    <w:rsid w:val="00A90B92"/>
    <w:rsid w:val="00A90C44"/>
    <w:rsid w:val="00A91823"/>
    <w:rsid w:val="00A93CD1"/>
    <w:rsid w:val="00AA1660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59D0"/>
    <w:rsid w:val="00AD5E57"/>
    <w:rsid w:val="00AD6A17"/>
    <w:rsid w:val="00AE3BBE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6F8"/>
    <w:rsid w:val="00B248CA"/>
    <w:rsid w:val="00B25EAA"/>
    <w:rsid w:val="00B30876"/>
    <w:rsid w:val="00B3130D"/>
    <w:rsid w:val="00B32432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B8"/>
    <w:rsid w:val="00B662F1"/>
    <w:rsid w:val="00B6654D"/>
    <w:rsid w:val="00B67339"/>
    <w:rsid w:val="00B71865"/>
    <w:rsid w:val="00B72782"/>
    <w:rsid w:val="00B73877"/>
    <w:rsid w:val="00B741CD"/>
    <w:rsid w:val="00B7447C"/>
    <w:rsid w:val="00B7509F"/>
    <w:rsid w:val="00B76574"/>
    <w:rsid w:val="00B830F8"/>
    <w:rsid w:val="00B84C15"/>
    <w:rsid w:val="00B87708"/>
    <w:rsid w:val="00B94CDE"/>
    <w:rsid w:val="00B95192"/>
    <w:rsid w:val="00B95528"/>
    <w:rsid w:val="00BA297C"/>
    <w:rsid w:val="00BA6094"/>
    <w:rsid w:val="00BB4019"/>
    <w:rsid w:val="00BC132A"/>
    <w:rsid w:val="00BC168E"/>
    <w:rsid w:val="00BC505C"/>
    <w:rsid w:val="00BC5E24"/>
    <w:rsid w:val="00BC764D"/>
    <w:rsid w:val="00BD1D05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434C"/>
    <w:rsid w:val="00C04FBA"/>
    <w:rsid w:val="00C11D79"/>
    <w:rsid w:val="00C126E1"/>
    <w:rsid w:val="00C13117"/>
    <w:rsid w:val="00C136E3"/>
    <w:rsid w:val="00C15531"/>
    <w:rsid w:val="00C17F88"/>
    <w:rsid w:val="00C2136E"/>
    <w:rsid w:val="00C21AE9"/>
    <w:rsid w:val="00C240B6"/>
    <w:rsid w:val="00C31756"/>
    <w:rsid w:val="00C31F7F"/>
    <w:rsid w:val="00C3279B"/>
    <w:rsid w:val="00C34061"/>
    <w:rsid w:val="00C367E2"/>
    <w:rsid w:val="00C36A3D"/>
    <w:rsid w:val="00C37E2F"/>
    <w:rsid w:val="00C42DBB"/>
    <w:rsid w:val="00C44420"/>
    <w:rsid w:val="00C4579F"/>
    <w:rsid w:val="00C52BA0"/>
    <w:rsid w:val="00C644C6"/>
    <w:rsid w:val="00C6464F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81C7D"/>
    <w:rsid w:val="00C91918"/>
    <w:rsid w:val="00C92D73"/>
    <w:rsid w:val="00C9602D"/>
    <w:rsid w:val="00C9708E"/>
    <w:rsid w:val="00CA4A72"/>
    <w:rsid w:val="00CA65F9"/>
    <w:rsid w:val="00CA70A1"/>
    <w:rsid w:val="00CB1A96"/>
    <w:rsid w:val="00CB2BCD"/>
    <w:rsid w:val="00CB36D7"/>
    <w:rsid w:val="00CB3F5C"/>
    <w:rsid w:val="00CB57F7"/>
    <w:rsid w:val="00CB6749"/>
    <w:rsid w:val="00CC1535"/>
    <w:rsid w:val="00CC46C4"/>
    <w:rsid w:val="00CC61C6"/>
    <w:rsid w:val="00CC6C0E"/>
    <w:rsid w:val="00CD1557"/>
    <w:rsid w:val="00CD2440"/>
    <w:rsid w:val="00CD352C"/>
    <w:rsid w:val="00CD7C57"/>
    <w:rsid w:val="00CE327F"/>
    <w:rsid w:val="00CE5649"/>
    <w:rsid w:val="00CF0DA5"/>
    <w:rsid w:val="00CF3A41"/>
    <w:rsid w:val="00D01070"/>
    <w:rsid w:val="00D02027"/>
    <w:rsid w:val="00D0479D"/>
    <w:rsid w:val="00D04E46"/>
    <w:rsid w:val="00D05684"/>
    <w:rsid w:val="00D059C8"/>
    <w:rsid w:val="00D10101"/>
    <w:rsid w:val="00D1142C"/>
    <w:rsid w:val="00D12397"/>
    <w:rsid w:val="00D207EF"/>
    <w:rsid w:val="00D21BD3"/>
    <w:rsid w:val="00D229A9"/>
    <w:rsid w:val="00D2609D"/>
    <w:rsid w:val="00D261E7"/>
    <w:rsid w:val="00D26939"/>
    <w:rsid w:val="00D31A08"/>
    <w:rsid w:val="00D32336"/>
    <w:rsid w:val="00D3238E"/>
    <w:rsid w:val="00D34895"/>
    <w:rsid w:val="00D41A8A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B1C54"/>
    <w:rsid w:val="00DB2B66"/>
    <w:rsid w:val="00DB30DF"/>
    <w:rsid w:val="00DB657D"/>
    <w:rsid w:val="00DC24F5"/>
    <w:rsid w:val="00DC3604"/>
    <w:rsid w:val="00DD2856"/>
    <w:rsid w:val="00DD69EE"/>
    <w:rsid w:val="00DE18E6"/>
    <w:rsid w:val="00DE4001"/>
    <w:rsid w:val="00DE5A88"/>
    <w:rsid w:val="00DE5E51"/>
    <w:rsid w:val="00DE64A1"/>
    <w:rsid w:val="00DF0EE9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7E10"/>
    <w:rsid w:val="00E20D5F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BCB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5B6F"/>
    <w:rsid w:val="00EC701B"/>
    <w:rsid w:val="00ED0545"/>
    <w:rsid w:val="00ED0857"/>
    <w:rsid w:val="00ED14F4"/>
    <w:rsid w:val="00ED39B6"/>
    <w:rsid w:val="00ED3F2C"/>
    <w:rsid w:val="00ED69D4"/>
    <w:rsid w:val="00EE4160"/>
    <w:rsid w:val="00EF46D7"/>
    <w:rsid w:val="00F003A7"/>
    <w:rsid w:val="00F01A27"/>
    <w:rsid w:val="00F07891"/>
    <w:rsid w:val="00F106FA"/>
    <w:rsid w:val="00F163EB"/>
    <w:rsid w:val="00F1789E"/>
    <w:rsid w:val="00F213DA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E70"/>
    <w:rsid w:val="00F7641E"/>
    <w:rsid w:val="00F76C9B"/>
    <w:rsid w:val="00F819E7"/>
    <w:rsid w:val="00F83F23"/>
    <w:rsid w:val="00F85FD1"/>
    <w:rsid w:val="00F86EDF"/>
    <w:rsid w:val="00F87116"/>
    <w:rsid w:val="00F93AD8"/>
    <w:rsid w:val="00F959F2"/>
    <w:rsid w:val="00FA187E"/>
    <w:rsid w:val="00FA6ABC"/>
    <w:rsid w:val="00FA7488"/>
    <w:rsid w:val="00FA74FF"/>
    <w:rsid w:val="00FB01F8"/>
    <w:rsid w:val="00FB7087"/>
    <w:rsid w:val="00FB723F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76191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20%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57%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6425896212336577"/>
                  <c:y val="-2.4273405269672711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9.9469651265390091E-2"/>
                  <c:y val="-6.3297829129325403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7%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634460501089611"/>
                  <c:y val="7.1060835705395925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 dirty="0">
                        <a:solidFill>
                          <a:sysClr val="windowText" lastClr="000000"/>
                        </a:solidFill>
                      </a:rPr>
                      <a:t>საგარეო
80%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366291485513895"/>
          <c:h val="0.7360549162123967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66AE-49A6-8508-0BFA87B0A32B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66AE-49A6-8508-0BFA87B0A32B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66AE-49A6-8508-0BFA87B0A32B}"/>
              </c:ext>
            </c:extLst>
          </c:dPt>
          <c:dLbls>
            <c:dLbl>
              <c:idx val="0"/>
              <c:layout>
                <c:manualLayout>
                  <c:x val="-0.17377581694188632"/>
                  <c:y val="-5.5338764599302918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AE-49A6-8508-0BFA87B0A32B}"/>
                </c:ext>
              </c:extLst>
            </c:dLbl>
            <c:dLbl>
              <c:idx val="1"/>
              <c:layout>
                <c:manualLayout>
                  <c:x val="0.16024740116751965"/>
                  <c:y val="-0.225265373724299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AE-49A6-8508-0BFA87B0A32B}"/>
                </c:ext>
              </c:extLst>
            </c:dLbl>
            <c:dLbl>
              <c:idx val="2"/>
              <c:layout>
                <c:manualLayout>
                  <c:x val="0.14179021936639191"/>
                  <c:y val="0.154277084368984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AE-49A6-8508-0BFA87B0A32B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6AE-49A6-8508-0BFA87B0A32B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მარტი'!$K$42:$K$45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'GVT მარტი'!$M$42:$M$45</c:f>
              <c:numCache>
                <c:formatCode>0%</c:formatCode>
                <c:ptCount val="4"/>
                <c:pt idx="0">
                  <c:v>0.32119792143541936</c:v>
                </c:pt>
                <c:pt idx="1">
                  <c:v>0.29749799831273099</c:v>
                </c:pt>
                <c:pt idx="2">
                  <c:v>0.34032532103595281</c:v>
                </c:pt>
                <c:pt idx="3">
                  <c:v>4.0978759215896797E-2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6AE-49A6-8508-0BFA87B0A32B}"/>
            </c:ext>
          </c:extLst>
        </c:ser>
        <c:ser>
          <c:idx val="1"/>
          <c:order val="1"/>
          <c:explosion val="25"/>
          <c:cat>
            <c:strRef>
              <c:f>'GVT მარტი'!$K$42:$K$45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'GVT მარტი'!$M$44:$M$47</c:f>
              <c:numCache>
                <c:formatCode>0%</c:formatCode>
                <c:ptCount val="4"/>
                <c:pt idx="0">
                  <c:v>0.34032532103595281</c:v>
                </c:pt>
                <c:pt idx="1">
                  <c:v>4.0978759215896797E-2</c:v>
                </c:pt>
                <c:pt idx="2" formatCode="0.0%">
                  <c:v>0.99999999999999989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6AE-49A6-8508-0BFA87B0A3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8574635241303"/>
          <c:y val="0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1970967054993723"/>
          <c:w val="0.80685640857392826"/>
          <c:h val="0.78953348632118814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7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B2C-47FA-B88E-7F0A60B04BE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B2C-47FA-B88E-7F0A60B04BE9}"/>
              </c:ext>
            </c:extLst>
          </c:dPt>
          <c:dLbls>
            <c:dLbl>
              <c:idx val="0"/>
              <c:layout>
                <c:manualLayout>
                  <c:x val="-0.21947984383654423"/>
                  <c:y val="-4.700086814942056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988772107646038"/>
                      <c:h val="0.310950731748008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B2C-47FA-B88E-7F0A60B04B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მარტი'!$L$35:$L$36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'GVT მარტი'!$M$35:$M$36</c:f>
              <c:numCache>
                <c:formatCode>_(* #,##0_);_(* \(#,##0\);_(* "-"??_);_(@_)</c:formatCode>
                <c:ptCount val="2"/>
                <c:pt idx="0">
                  <c:v>2939521.740418769</c:v>
                </c:pt>
                <c:pt idx="1">
                  <c:v>2503075.2390000005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2C-47FA-B88E-7F0A60B04BE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0.16605</cdr:x>
      <cdr:y>0.00028</cdr:y>
    </cdr:from>
    <cdr:to>
      <cdr:x>0.87658</cdr:x>
      <cdr:y>0.13386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2899" y="534"/>
          <a:ext cx="2023572" cy="254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B84C-F5A1-4AE7-B5BE-97374702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6</cp:revision>
  <cp:lastPrinted>2019-04-25T08:10:00Z</cp:lastPrinted>
  <dcterms:created xsi:type="dcterms:W3CDTF">2020-04-17T15:19:00Z</dcterms:created>
  <dcterms:modified xsi:type="dcterms:W3CDTF">2020-04-30T09:26:00Z</dcterms:modified>
</cp:coreProperties>
</file>